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CA216" w14:textId="1AA157D1" w:rsidR="00EC0279" w:rsidRPr="0047105D" w:rsidRDefault="0047105D" w:rsidP="00031351">
      <w:pPr>
        <w:spacing w:line="240" w:lineRule="auto"/>
        <w:rPr>
          <w:b/>
          <w:bCs/>
          <w:smallCaps/>
          <w:noProof/>
          <w:sz w:val="28"/>
          <w:szCs w:val="28"/>
        </w:rPr>
      </w:pPr>
      <w:r w:rsidRPr="0047105D">
        <w:rPr>
          <w:rFonts w:cstheme="minorHAnsi"/>
          <w:b/>
          <w:bCs/>
          <w:noProof/>
          <w:sz w:val="28"/>
          <w:szCs w:val="28"/>
        </w:rPr>
        <w:t xml:space="preserve">Supplementary Table S1. </w:t>
      </w:r>
      <w:r w:rsidRPr="00E35525">
        <w:rPr>
          <w:rFonts w:cstheme="minorHAnsi"/>
          <w:b/>
          <w:bCs/>
          <w:noProof/>
          <w:sz w:val="28"/>
          <w:szCs w:val="28"/>
        </w:rPr>
        <w:t xml:space="preserve">Characteristics of </w:t>
      </w:r>
      <w:r>
        <w:rPr>
          <w:rFonts w:cstheme="minorHAnsi"/>
          <w:b/>
          <w:bCs/>
          <w:noProof/>
          <w:sz w:val="28"/>
          <w:szCs w:val="28"/>
        </w:rPr>
        <w:t xml:space="preserve">10,138 men in </w:t>
      </w:r>
      <w:r w:rsidRPr="00E35525">
        <w:rPr>
          <w:rFonts w:cstheme="minorHAnsi"/>
          <w:b/>
          <w:bCs/>
          <w:noProof/>
          <w:sz w:val="28"/>
          <w:szCs w:val="28"/>
        </w:rPr>
        <w:t xml:space="preserve">the NEDA </w:t>
      </w:r>
      <w:r w:rsidR="007D5C93">
        <w:rPr>
          <w:rFonts w:cstheme="minorHAnsi"/>
          <w:b/>
          <w:bCs/>
          <w:noProof/>
          <w:sz w:val="28"/>
          <w:szCs w:val="28"/>
        </w:rPr>
        <w:t>c</w:t>
      </w:r>
      <w:r w:rsidRPr="00E35525">
        <w:rPr>
          <w:rFonts w:cstheme="minorHAnsi"/>
          <w:b/>
          <w:bCs/>
          <w:noProof/>
          <w:sz w:val="28"/>
          <w:szCs w:val="28"/>
        </w:rPr>
        <w:t>ohort</w:t>
      </w:r>
      <w:r w:rsidR="00FB761D">
        <w:rPr>
          <w:rFonts w:cstheme="minorHAnsi"/>
          <w:b/>
          <w:bCs/>
          <w:noProof/>
          <w:sz w:val="28"/>
          <w:szCs w:val="28"/>
        </w:rPr>
        <w:t xml:space="preserve"> identified </w:t>
      </w:r>
      <w:r w:rsidR="00EF2E87">
        <w:rPr>
          <w:rFonts w:cstheme="minorHAnsi"/>
          <w:b/>
          <w:bCs/>
          <w:noProof/>
          <w:sz w:val="28"/>
          <w:szCs w:val="28"/>
        </w:rPr>
        <w:t xml:space="preserve">with </w:t>
      </w:r>
      <w:r w:rsidR="005F0D81" w:rsidRPr="005F0D81">
        <w:rPr>
          <w:rFonts w:cstheme="minorHAnsi"/>
          <w:b/>
          <w:bCs/>
          <w:noProof/>
          <w:sz w:val="28"/>
          <w:szCs w:val="28"/>
        </w:rPr>
        <w:t xml:space="preserve">phenotypical </w:t>
      </w:r>
      <w:r w:rsidR="00EF2E87">
        <w:rPr>
          <w:rFonts w:cstheme="minorHAnsi"/>
          <w:b/>
          <w:bCs/>
          <w:noProof/>
          <w:sz w:val="28"/>
          <w:szCs w:val="28"/>
        </w:rPr>
        <w:t>HCM</w:t>
      </w:r>
    </w:p>
    <w:tbl>
      <w:tblPr>
        <w:tblW w:w="9931" w:type="dxa"/>
        <w:tblInd w:w="-421" w:type="dxa"/>
        <w:tblLook w:val="04A0" w:firstRow="1" w:lastRow="0" w:firstColumn="1" w:lastColumn="0" w:noHBand="0" w:noVBand="1"/>
      </w:tblPr>
      <w:tblGrid>
        <w:gridCol w:w="5043"/>
        <w:gridCol w:w="1629"/>
        <w:gridCol w:w="1629"/>
        <w:gridCol w:w="1630"/>
      </w:tblGrid>
      <w:tr w:rsidR="00EC0279" w:rsidRPr="0085077C" w14:paraId="35118094" w14:textId="77777777" w:rsidTr="00CB0A16">
        <w:trPr>
          <w:trHeight w:val="280"/>
        </w:trPr>
        <w:tc>
          <w:tcPr>
            <w:tcW w:w="504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B82F09E" w14:textId="77777777" w:rsidR="00EC0279" w:rsidRPr="0085077C" w:rsidRDefault="00EC0279" w:rsidP="00DE0218">
            <w:pPr>
              <w:spacing w:after="0" w:line="240" w:lineRule="auto"/>
              <w:rPr>
                <w:rFonts w:ascii="Calibri" w:eastAsia="Times New Roman" w:hAnsi="Calibri" w:cs="Calibri"/>
                <w:b/>
                <w:bCs/>
                <w:color w:val="000000"/>
                <w:lang w:eastAsia="en-GB"/>
              </w:rPr>
            </w:pPr>
            <w:r w:rsidRPr="00F8615C">
              <w:rPr>
                <w:rFonts w:eastAsia="Times New Roman" w:cstheme="minorHAnsi"/>
                <w:b/>
                <w:bCs/>
                <w:smallCaps/>
                <w:lang w:eastAsia="en-AU"/>
              </w:rPr>
              <w:t>Men</w:t>
            </w:r>
          </w:p>
        </w:tc>
        <w:tc>
          <w:tcPr>
            <w:tcW w:w="1629" w:type="dxa"/>
            <w:tcBorders>
              <w:top w:val="single" w:sz="8" w:space="0" w:color="auto"/>
              <w:left w:val="single" w:sz="4" w:space="0" w:color="auto"/>
              <w:bottom w:val="nil"/>
              <w:right w:val="single" w:sz="4" w:space="0" w:color="auto"/>
            </w:tcBorders>
            <w:shd w:val="clear" w:color="auto" w:fill="auto"/>
            <w:vAlign w:val="center"/>
            <w:hideMark/>
          </w:tcPr>
          <w:p w14:paraId="6955DA4D" w14:textId="77777777"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ALL HCM</w:t>
            </w:r>
          </w:p>
        </w:tc>
        <w:tc>
          <w:tcPr>
            <w:tcW w:w="1629" w:type="dxa"/>
            <w:tcBorders>
              <w:top w:val="single" w:sz="8" w:space="0" w:color="auto"/>
              <w:left w:val="single" w:sz="4" w:space="0" w:color="auto"/>
              <w:bottom w:val="nil"/>
              <w:right w:val="single" w:sz="4" w:space="0" w:color="auto"/>
            </w:tcBorders>
            <w:shd w:val="clear" w:color="auto" w:fill="auto"/>
            <w:vAlign w:val="center"/>
            <w:hideMark/>
          </w:tcPr>
          <w:p w14:paraId="1DA4B463" w14:textId="77777777"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ASH</w:t>
            </w:r>
          </w:p>
        </w:tc>
        <w:tc>
          <w:tcPr>
            <w:tcW w:w="1630" w:type="dxa"/>
            <w:tcBorders>
              <w:top w:val="single" w:sz="8" w:space="0" w:color="auto"/>
              <w:left w:val="single" w:sz="4" w:space="0" w:color="auto"/>
              <w:bottom w:val="nil"/>
              <w:right w:val="single" w:sz="8" w:space="0" w:color="auto"/>
            </w:tcBorders>
            <w:shd w:val="clear" w:color="auto" w:fill="auto"/>
            <w:vAlign w:val="center"/>
            <w:hideMark/>
          </w:tcPr>
          <w:p w14:paraId="52A8E978" w14:textId="63438A28"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o</w:t>
            </w:r>
            <w:r w:rsidR="00EF2E87">
              <w:rPr>
                <w:rFonts w:ascii="Calibri" w:eastAsia="Times New Roman" w:hAnsi="Calibri" w:cs="Calibri"/>
                <w:b/>
                <w:bCs/>
                <w:color w:val="000000"/>
                <w:lang w:eastAsia="en-GB"/>
              </w:rPr>
              <w:t>H</w:t>
            </w:r>
            <w:r w:rsidRPr="0085077C">
              <w:rPr>
                <w:rFonts w:ascii="Calibri" w:eastAsia="Times New Roman" w:hAnsi="Calibri" w:cs="Calibri"/>
                <w:b/>
                <w:bCs/>
                <w:color w:val="000000"/>
                <w:lang w:eastAsia="en-GB"/>
              </w:rPr>
              <w:t>CM</w:t>
            </w:r>
          </w:p>
        </w:tc>
      </w:tr>
      <w:tr w:rsidR="00EC0279" w:rsidRPr="0085077C" w14:paraId="59EDA9FC" w14:textId="77777777" w:rsidTr="00CB0A16">
        <w:trPr>
          <w:trHeight w:val="85"/>
        </w:trPr>
        <w:tc>
          <w:tcPr>
            <w:tcW w:w="5043"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7E7B63" w14:textId="77777777" w:rsidR="00EC0279" w:rsidRPr="0085077C" w:rsidRDefault="00EC0279" w:rsidP="00DE0218">
            <w:pPr>
              <w:spacing w:after="0" w:line="240" w:lineRule="auto"/>
              <w:rPr>
                <w:rFonts w:ascii="Calibri" w:eastAsia="Times New Roman" w:hAnsi="Calibri" w:cs="Calibri"/>
                <w:b/>
                <w:bCs/>
                <w:color w:val="000000"/>
                <w:lang w:eastAsia="en-GB"/>
              </w:rPr>
            </w:pPr>
          </w:p>
        </w:tc>
        <w:tc>
          <w:tcPr>
            <w:tcW w:w="1629" w:type="dxa"/>
            <w:tcBorders>
              <w:top w:val="nil"/>
              <w:left w:val="single" w:sz="4" w:space="0" w:color="auto"/>
              <w:bottom w:val="single" w:sz="8" w:space="0" w:color="auto"/>
              <w:right w:val="single" w:sz="4" w:space="0" w:color="auto"/>
            </w:tcBorders>
            <w:shd w:val="clear" w:color="auto" w:fill="auto"/>
            <w:vAlign w:val="center"/>
            <w:hideMark/>
          </w:tcPr>
          <w:p w14:paraId="3E508C10" w14:textId="77777777"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10,138 cases</w:t>
            </w:r>
          </w:p>
        </w:tc>
        <w:tc>
          <w:tcPr>
            <w:tcW w:w="1629" w:type="dxa"/>
            <w:tcBorders>
              <w:top w:val="nil"/>
              <w:left w:val="single" w:sz="4" w:space="0" w:color="auto"/>
              <w:bottom w:val="single" w:sz="8" w:space="0" w:color="auto"/>
              <w:right w:val="single" w:sz="4" w:space="0" w:color="auto"/>
            </w:tcBorders>
            <w:shd w:val="clear" w:color="auto" w:fill="auto"/>
            <w:vAlign w:val="center"/>
            <w:hideMark/>
          </w:tcPr>
          <w:p w14:paraId="331A0879" w14:textId="77777777"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3,473 cases</w:t>
            </w:r>
          </w:p>
        </w:tc>
        <w:tc>
          <w:tcPr>
            <w:tcW w:w="1630" w:type="dxa"/>
            <w:tcBorders>
              <w:top w:val="nil"/>
              <w:left w:val="single" w:sz="4" w:space="0" w:color="auto"/>
              <w:bottom w:val="single" w:sz="8" w:space="0" w:color="auto"/>
              <w:right w:val="single" w:sz="8" w:space="0" w:color="auto"/>
            </w:tcBorders>
            <w:shd w:val="clear" w:color="auto" w:fill="auto"/>
            <w:vAlign w:val="center"/>
            <w:hideMark/>
          </w:tcPr>
          <w:p w14:paraId="08C3C873" w14:textId="77777777" w:rsidR="00EC0279" w:rsidRPr="0085077C" w:rsidRDefault="00EC0279" w:rsidP="00DE0218">
            <w:pPr>
              <w:spacing w:after="0" w:line="240" w:lineRule="auto"/>
              <w:jc w:val="center"/>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1,432 cases</w:t>
            </w:r>
          </w:p>
        </w:tc>
      </w:tr>
      <w:tr w:rsidR="00EC0279" w:rsidRPr="0085077C" w14:paraId="294DB494" w14:textId="77777777" w:rsidTr="00CB0A16">
        <w:trPr>
          <w:trHeight w:val="296"/>
        </w:trPr>
        <w:tc>
          <w:tcPr>
            <w:tcW w:w="993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D9F09F5" w14:textId="77777777" w:rsidR="00EC0279" w:rsidRPr="0085077C" w:rsidRDefault="00EC0279" w:rsidP="00DE0218">
            <w:pPr>
              <w:spacing w:after="0" w:line="240" w:lineRule="auto"/>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Demographic</w:t>
            </w:r>
          </w:p>
        </w:tc>
      </w:tr>
      <w:tr w:rsidR="00EC0279" w:rsidRPr="0085077C" w14:paraId="62E98383"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25154A90"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Age at last echo (years)</w:t>
            </w:r>
          </w:p>
        </w:tc>
        <w:tc>
          <w:tcPr>
            <w:tcW w:w="1629" w:type="dxa"/>
            <w:tcBorders>
              <w:top w:val="nil"/>
              <w:left w:val="nil"/>
              <w:bottom w:val="single" w:sz="4" w:space="0" w:color="auto"/>
              <w:right w:val="single" w:sz="4" w:space="0" w:color="auto"/>
            </w:tcBorders>
            <w:shd w:val="clear" w:color="auto" w:fill="auto"/>
            <w:noWrap/>
            <w:vAlign w:val="center"/>
            <w:hideMark/>
          </w:tcPr>
          <w:p w14:paraId="3CDA440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69.52 ± 14.48</w:t>
            </w:r>
          </w:p>
        </w:tc>
        <w:tc>
          <w:tcPr>
            <w:tcW w:w="1629" w:type="dxa"/>
            <w:tcBorders>
              <w:top w:val="nil"/>
              <w:left w:val="nil"/>
              <w:bottom w:val="single" w:sz="4" w:space="0" w:color="auto"/>
              <w:right w:val="single" w:sz="4" w:space="0" w:color="auto"/>
            </w:tcBorders>
            <w:shd w:val="clear" w:color="auto" w:fill="auto"/>
            <w:vAlign w:val="center"/>
            <w:hideMark/>
          </w:tcPr>
          <w:p w14:paraId="1C700ECB"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68.57 ± 15.10</w:t>
            </w:r>
          </w:p>
        </w:tc>
        <w:tc>
          <w:tcPr>
            <w:tcW w:w="1630" w:type="dxa"/>
            <w:tcBorders>
              <w:top w:val="nil"/>
              <w:left w:val="nil"/>
              <w:bottom w:val="single" w:sz="4" w:space="0" w:color="auto"/>
              <w:right w:val="single" w:sz="8" w:space="0" w:color="auto"/>
            </w:tcBorders>
            <w:shd w:val="clear" w:color="auto" w:fill="auto"/>
            <w:vAlign w:val="center"/>
            <w:hideMark/>
          </w:tcPr>
          <w:p w14:paraId="11F44436"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76.36 ± 11.82</w:t>
            </w:r>
          </w:p>
        </w:tc>
      </w:tr>
      <w:tr w:rsidR="00EC0279" w:rsidRPr="0085077C" w14:paraId="12BDA9B5" w14:textId="77777777" w:rsidTr="00CB0A16">
        <w:trPr>
          <w:trHeight w:val="296"/>
        </w:trPr>
        <w:tc>
          <w:tcPr>
            <w:tcW w:w="5043" w:type="dxa"/>
            <w:tcBorders>
              <w:top w:val="nil"/>
              <w:left w:val="single" w:sz="8" w:space="0" w:color="auto"/>
              <w:bottom w:val="single" w:sz="8" w:space="0" w:color="auto"/>
              <w:right w:val="single" w:sz="4" w:space="0" w:color="auto"/>
            </w:tcBorders>
            <w:shd w:val="clear" w:color="auto" w:fill="auto"/>
            <w:vAlign w:val="center"/>
            <w:hideMark/>
          </w:tcPr>
          <w:p w14:paraId="336725C3"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BMI (kg/m</w:t>
            </w:r>
            <w:r w:rsidRPr="0085077C">
              <w:rPr>
                <w:rFonts w:ascii="Calibri" w:eastAsia="Times New Roman" w:hAnsi="Calibri" w:cs="Calibri"/>
                <w:color w:val="000000"/>
                <w:sz w:val="20"/>
                <w:szCs w:val="20"/>
                <w:vertAlign w:val="superscript"/>
                <w:lang w:eastAsia="en-GB"/>
              </w:rPr>
              <w:t>2</w:t>
            </w:r>
            <w:r w:rsidRPr="0085077C">
              <w:rPr>
                <w:rFonts w:ascii="Calibri" w:eastAsia="Times New Roman" w:hAnsi="Calibri" w:cs="Calibri"/>
                <w:color w:val="000000"/>
                <w:lang w:eastAsia="en-GB"/>
              </w:rPr>
              <w:t>)</w:t>
            </w:r>
          </w:p>
        </w:tc>
        <w:tc>
          <w:tcPr>
            <w:tcW w:w="1629" w:type="dxa"/>
            <w:tcBorders>
              <w:top w:val="nil"/>
              <w:left w:val="nil"/>
              <w:bottom w:val="single" w:sz="8" w:space="0" w:color="auto"/>
              <w:right w:val="single" w:sz="4" w:space="0" w:color="auto"/>
            </w:tcBorders>
            <w:shd w:val="clear" w:color="auto" w:fill="auto"/>
            <w:noWrap/>
            <w:vAlign w:val="center"/>
            <w:hideMark/>
          </w:tcPr>
          <w:p w14:paraId="17207645"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29.96 ± 6.44</w:t>
            </w:r>
          </w:p>
        </w:tc>
        <w:tc>
          <w:tcPr>
            <w:tcW w:w="1629" w:type="dxa"/>
            <w:tcBorders>
              <w:top w:val="nil"/>
              <w:left w:val="nil"/>
              <w:bottom w:val="single" w:sz="8" w:space="0" w:color="auto"/>
              <w:right w:val="single" w:sz="4" w:space="0" w:color="auto"/>
            </w:tcBorders>
            <w:shd w:val="clear" w:color="auto" w:fill="auto"/>
            <w:vAlign w:val="center"/>
            <w:hideMark/>
          </w:tcPr>
          <w:p w14:paraId="5365F30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28.99 ± 5.75</w:t>
            </w:r>
          </w:p>
        </w:tc>
        <w:tc>
          <w:tcPr>
            <w:tcW w:w="1630" w:type="dxa"/>
            <w:tcBorders>
              <w:top w:val="nil"/>
              <w:left w:val="nil"/>
              <w:bottom w:val="single" w:sz="8" w:space="0" w:color="auto"/>
              <w:right w:val="single" w:sz="8" w:space="0" w:color="auto"/>
            </w:tcBorders>
            <w:shd w:val="clear" w:color="auto" w:fill="auto"/>
            <w:vAlign w:val="center"/>
            <w:hideMark/>
          </w:tcPr>
          <w:p w14:paraId="09295C1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228.92 ± 5.72</w:t>
            </w:r>
          </w:p>
        </w:tc>
      </w:tr>
      <w:tr w:rsidR="00EC0279" w:rsidRPr="0085077C" w14:paraId="35ECDCD7" w14:textId="77777777" w:rsidTr="00CB0A16">
        <w:trPr>
          <w:trHeight w:val="296"/>
        </w:trPr>
        <w:tc>
          <w:tcPr>
            <w:tcW w:w="993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1243AB5" w14:textId="77777777" w:rsidR="00EC0279" w:rsidRPr="0085077C" w:rsidRDefault="00EC0279" w:rsidP="00DE0218">
            <w:pPr>
              <w:spacing w:after="0" w:line="240" w:lineRule="auto"/>
              <w:rPr>
                <w:rFonts w:ascii="Calibri" w:eastAsia="Times New Roman" w:hAnsi="Calibri" w:cs="Calibri"/>
                <w:b/>
                <w:bCs/>
                <w:color w:val="000000"/>
                <w:lang w:eastAsia="en-GB"/>
              </w:rPr>
            </w:pPr>
            <w:r w:rsidRPr="0085077C">
              <w:rPr>
                <w:rFonts w:ascii="Calibri" w:eastAsia="Times New Roman" w:hAnsi="Calibri" w:cs="Calibri"/>
                <w:b/>
                <w:bCs/>
                <w:color w:val="000000"/>
                <w:lang w:eastAsia="en-GB"/>
              </w:rPr>
              <w:t>LV Dimensions/Function</w:t>
            </w:r>
            <w:r w:rsidRPr="0085077C">
              <w:rPr>
                <w:rFonts w:ascii="Calibri" w:eastAsia="Times New Roman" w:hAnsi="Calibri" w:cs="Calibri"/>
                <w:color w:val="000000"/>
                <w:lang w:eastAsia="en-GB"/>
              </w:rPr>
              <w:t> </w:t>
            </w:r>
          </w:p>
        </w:tc>
      </w:tr>
      <w:tr w:rsidR="00EC0279" w:rsidRPr="0085077C" w14:paraId="5E604691" w14:textId="77777777" w:rsidTr="00CB0A16">
        <w:trPr>
          <w:trHeight w:val="296"/>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5AE0E897"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IV Septal thickness</w:t>
            </w:r>
          </w:p>
        </w:tc>
        <w:tc>
          <w:tcPr>
            <w:tcW w:w="1629" w:type="dxa"/>
            <w:tcBorders>
              <w:top w:val="nil"/>
              <w:left w:val="nil"/>
              <w:bottom w:val="single" w:sz="4" w:space="0" w:color="auto"/>
              <w:right w:val="single" w:sz="4" w:space="0" w:color="auto"/>
            </w:tcBorders>
            <w:shd w:val="clear" w:color="auto" w:fill="auto"/>
            <w:noWrap/>
            <w:vAlign w:val="center"/>
            <w:hideMark/>
          </w:tcPr>
          <w:p w14:paraId="0147C37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1.62 ± 0.23</w:t>
            </w:r>
          </w:p>
        </w:tc>
        <w:tc>
          <w:tcPr>
            <w:tcW w:w="1629" w:type="dxa"/>
            <w:tcBorders>
              <w:top w:val="nil"/>
              <w:left w:val="nil"/>
              <w:bottom w:val="single" w:sz="4" w:space="0" w:color="auto"/>
              <w:right w:val="single" w:sz="4" w:space="0" w:color="auto"/>
            </w:tcBorders>
            <w:shd w:val="clear" w:color="auto" w:fill="auto"/>
            <w:vAlign w:val="center"/>
            <w:hideMark/>
          </w:tcPr>
          <w:p w14:paraId="3921B70B"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1.75 ± 0.27</w:t>
            </w:r>
          </w:p>
        </w:tc>
        <w:tc>
          <w:tcPr>
            <w:tcW w:w="1630" w:type="dxa"/>
            <w:tcBorders>
              <w:top w:val="nil"/>
              <w:left w:val="nil"/>
              <w:bottom w:val="single" w:sz="4" w:space="0" w:color="auto"/>
              <w:right w:val="single" w:sz="8" w:space="0" w:color="auto"/>
            </w:tcBorders>
            <w:shd w:val="clear" w:color="auto" w:fill="auto"/>
            <w:vAlign w:val="center"/>
            <w:hideMark/>
          </w:tcPr>
          <w:p w14:paraId="5D77F78A"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1.62 ± 0.18</w:t>
            </w:r>
          </w:p>
        </w:tc>
      </w:tr>
      <w:tr w:rsidR="00EC0279" w:rsidRPr="0085077C" w14:paraId="3F137409"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2E8015EC" w14:textId="7ABF8888"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 xml:space="preserve">IV Septal thickness </w:t>
            </w:r>
            <w:r w:rsidR="007D5C93" w:rsidRPr="004B22CD">
              <w:rPr>
                <w:rFonts w:cstheme="minorHAnsi"/>
                <w:sz w:val="24"/>
                <w:szCs w:val="24"/>
              </w:rPr>
              <w:t>≥</w:t>
            </w:r>
            <w:r w:rsidRPr="0085077C">
              <w:rPr>
                <w:rFonts w:ascii="Calibri" w:eastAsia="Times New Roman" w:hAnsi="Calibri" w:cs="Calibri"/>
                <w:color w:val="000000"/>
                <w:lang w:eastAsia="en-GB"/>
              </w:rPr>
              <w:t>15mm %</w:t>
            </w:r>
          </w:p>
        </w:tc>
        <w:tc>
          <w:tcPr>
            <w:tcW w:w="1629" w:type="dxa"/>
            <w:tcBorders>
              <w:top w:val="nil"/>
              <w:left w:val="nil"/>
              <w:bottom w:val="single" w:sz="4" w:space="0" w:color="auto"/>
              <w:right w:val="single" w:sz="4" w:space="0" w:color="auto"/>
            </w:tcBorders>
            <w:shd w:val="clear" w:color="auto" w:fill="auto"/>
            <w:noWrap/>
            <w:vAlign w:val="center"/>
            <w:hideMark/>
          </w:tcPr>
          <w:p w14:paraId="02D5D222"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91.35%</w:t>
            </w:r>
          </w:p>
        </w:tc>
        <w:tc>
          <w:tcPr>
            <w:tcW w:w="1629" w:type="dxa"/>
            <w:tcBorders>
              <w:top w:val="nil"/>
              <w:left w:val="nil"/>
              <w:bottom w:val="single" w:sz="4" w:space="0" w:color="auto"/>
              <w:right w:val="single" w:sz="4" w:space="0" w:color="auto"/>
            </w:tcBorders>
            <w:shd w:val="clear" w:color="auto" w:fill="auto"/>
            <w:vAlign w:val="center"/>
            <w:hideMark/>
          </w:tcPr>
          <w:p w14:paraId="5FEB1C32"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100.00%</w:t>
            </w:r>
          </w:p>
        </w:tc>
        <w:tc>
          <w:tcPr>
            <w:tcW w:w="1630" w:type="dxa"/>
            <w:tcBorders>
              <w:top w:val="nil"/>
              <w:left w:val="nil"/>
              <w:bottom w:val="single" w:sz="4" w:space="0" w:color="auto"/>
              <w:right w:val="single" w:sz="8" w:space="0" w:color="auto"/>
            </w:tcBorders>
            <w:shd w:val="clear" w:color="auto" w:fill="auto"/>
            <w:vAlign w:val="center"/>
            <w:hideMark/>
          </w:tcPr>
          <w:p w14:paraId="59A58CB2"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93.99%</w:t>
            </w:r>
          </w:p>
        </w:tc>
      </w:tr>
      <w:tr w:rsidR="00EC0279" w:rsidRPr="0085077C" w14:paraId="60D1CA5A"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68576245"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 Posterior Wall Dimensions</w:t>
            </w:r>
          </w:p>
        </w:tc>
        <w:tc>
          <w:tcPr>
            <w:tcW w:w="1629" w:type="dxa"/>
            <w:tcBorders>
              <w:top w:val="nil"/>
              <w:left w:val="nil"/>
              <w:bottom w:val="single" w:sz="4" w:space="0" w:color="auto"/>
              <w:right w:val="single" w:sz="4" w:space="0" w:color="auto"/>
            </w:tcBorders>
            <w:shd w:val="clear" w:color="auto" w:fill="auto"/>
            <w:noWrap/>
            <w:vAlign w:val="center"/>
            <w:hideMark/>
          </w:tcPr>
          <w:p w14:paraId="7B61EB92"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1.36 ± 0.28</w:t>
            </w:r>
          </w:p>
        </w:tc>
        <w:tc>
          <w:tcPr>
            <w:tcW w:w="1629" w:type="dxa"/>
            <w:tcBorders>
              <w:top w:val="nil"/>
              <w:left w:val="nil"/>
              <w:bottom w:val="single" w:sz="4" w:space="0" w:color="auto"/>
              <w:right w:val="single" w:sz="4" w:space="0" w:color="auto"/>
            </w:tcBorders>
            <w:shd w:val="clear" w:color="auto" w:fill="auto"/>
            <w:vAlign w:val="center"/>
            <w:hideMark/>
          </w:tcPr>
          <w:p w14:paraId="76973F90"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1.08 ± 0.19</w:t>
            </w:r>
          </w:p>
        </w:tc>
        <w:tc>
          <w:tcPr>
            <w:tcW w:w="1630" w:type="dxa"/>
            <w:tcBorders>
              <w:top w:val="nil"/>
              <w:left w:val="nil"/>
              <w:bottom w:val="single" w:sz="4" w:space="0" w:color="auto"/>
              <w:right w:val="single" w:sz="8" w:space="0" w:color="auto"/>
            </w:tcBorders>
            <w:shd w:val="clear" w:color="auto" w:fill="auto"/>
            <w:vAlign w:val="center"/>
            <w:hideMark/>
          </w:tcPr>
          <w:p w14:paraId="236E7D8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1.41 ± 0.25</w:t>
            </w:r>
          </w:p>
        </w:tc>
      </w:tr>
      <w:tr w:rsidR="00EC0279" w:rsidRPr="0085077C" w14:paraId="57778D29"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6B4CCEA3" w14:textId="095765EA"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 xml:space="preserve">LV Posterior Wall Dimensions </w:t>
            </w:r>
            <w:r w:rsidR="007D5C93" w:rsidRPr="004B22CD">
              <w:rPr>
                <w:rFonts w:cstheme="minorHAnsi"/>
                <w:sz w:val="24"/>
                <w:szCs w:val="24"/>
              </w:rPr>
              <w:t>≥</w:t>
            </w:r>
            <w:r w:rsidRPr="0085077C">
              <w:rPr>
                <w:rFonts w:ascii="Calibri" w:eastAsia="Times New Roman" w:hAnsi="Calibri" w:cs="Calibri"/>
                <w:color w:val="000000"/>
                <w:lang w:eastAsia="en-GB"/>
              </w:rPr>
              <w:t>15mm %</w:t>
            </w:r>
          </w:p>
        </w:tc>
        <w:tc>
          <w:tcPr>
            <w:tcW w:w="1629" w:type="dxa"/>
            <w:tcBorders>
              <w:top w:val="nil"/>
              <w:left w:val="nil"/>
              <w:bottom w:val="single" w:sz="4" w:space="0" w:color="auto"/>
              <w:right w:val="single" w:sz="4" w:space="0" w:color="auto"/>
            </w:tcBorders>
            <w:shd w:val="clear" w:color="auto" w:fill="auto"/>
            <w:noWrap/>
            <w:vAlign w:val="center"/>
            <w:hideMark/>
          </w:tcPr>
          <w:p w14:paraId="7CA02B49"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41.72%</w:t>
            </w:r>
          </w:p>
        </w:tc>
        <w:tc>
          <w:tcPr>
            <w:tcW w:w="1629" w:type="dxa"/>
            <w:tcBorders>
              <w:top w:val="nil"/>
              <w:left w:val="nil"/>
              <w:bottom w:val="single" w:sz="4" w:space="0" w:color="auto"/>
              <w:right w:val="single" w:sz="4" w:space="0" w:color="auto"/>
            </w:tcBorders>
            <w:shd w:val="clear" w:color="auto" w:fill="auto"/>
            <w:vAlign w:val="center"/>
            <w:hideMark/>
          </w:tcPr>
          <w:p w14:paraId="27A99B4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2.45%</w:t>
            </w:r>
          </w:p>
        </w:tc>
        <w:tc>
          <w:tcPr>
            <w:tcW w:w="1630" w:type="dxa"/>
            <w:tcBorders>
              <w:top w:val="nil"/>
              <w:left w:val="nil"/>
              <w:bottom w:val="single" w:sz="4" w:space="0" w:color="auto"/>
              <w:right w:val="single" w:sz="8" w:space="0" w:color="auto"/>
            </w:tcBorders>
            <w:shd w:val="clear" w:color="auto" w:fill="auto"/>
            <w:vAlign w:val="center"/>
            <w:hideMark/>
          </w:tcPr>
          <w:p w14:paraId="30B62A0A"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53.21%</w:t>
            </w:r>
          </w:p>
        </w:tc>
      </w:tr>
      <w:tr w:rsidR="00EC0279" w:rsidRPr="0085077C" w14:paraId="0E35D4E6"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206F3B55"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 diastolic diameter</w:t>
            </w:r>
          </w:p>
        </w:tc>
        <w:tc>
          <w:tcPr>
            <w:tcW w:w="1629" w:type="dxa"/>
            <w:tcBorders>
              <w:top w:val="nil"/>
              <w:left w:val="nil"/>
              <w:bottom w:val="single" w:sz="4" w:space="0" w:color="auto"/>
              <w:right w:val="single" w:sz="4" w:space="0" w:color="auto"/>
            </w:tcBorders>
            <w:shd w:val="clear" w:color="auto" w:fill="auto"/>
            <w:noWrap/>
            <w:vAlign w:val="center"/>
            <w:hideMark/>
          </w:tcPr>
          <w:p w14:paraId="6643F2C2"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4.67 ± 0.77</w:t>
            </w:r>
          </w:p>
        </w:tc>
        <w:tc>
          <w:tcPr>
            <w:tcW w:w="1629" w:type="dxa"/>
            <w:tcBorders>
              <w:top w:val="nil"/>
              <w:left w:val="nil"/>
              <w:bottom w:val="single" w:sz="4" w:space="0" w:color="auto"/>
              <w:right w:val="single" w:sz="4" w:space="0" w:color="auto"/>
            </w:tcBorders>
            <w:shd w:val="clear" w:color="auto" w:fill="auto"/>
            <w:vAlign w:val="center"/>
            <w:hideMark/>
          </w:tcPr>
          <w:p w14:paraId="57C4F63C"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4.56 ± 0.80</w:t>
            </w:r>
          </w:p>
        </w:tc>
        <w:tc>
          <w:tcPr>
            <w:tcW w:w="1630" w:type="dxa"/>
            <w:tcBorders>
              <w:top w:val="nil"/>
              <w:left w:val="nil"/>
              <w:bottom w:val="single" w:sz="4" w:space="0" w:color="auto"/>
              <w:right w:val="single" w:sz="8" w:space="0" w:color="auto"/>
            </w:tcBorders>
            <w:shd w:val="clear" w:color="auto" w:fill="auto"/>
            <w:vAlign w:val="center"/>
            <w:hideMark/>
          </w:tcPr>
          <w:p w14:paraId="3A273C0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4.77 ± 0.73</w:t>
            </w:r>
          </w:p>
        </w:tc>
      </w:tr>
      <w:tr w:rsidR="00EC0279" w:rsidRPr="0085077C" w14:paraId="54CE824B"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42352990"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 diastolic diameter &lt;5.5cm %</w:t>
            </w:r>
          </w:p>
        </w:tc>
        <w:tc>
          <w:tcPr>
            <w:tcW w:w="1629" w:type="dxa"/>
            <w:tcBorders>
              <w:top w:val="nil"/>
              <w:left w:val="nil"/>
              <w:bottom w:val="single" w:sz="4" w:space="0" w:color="auto"/>
              <w:right w:val="single" w:sz="4" w:space="0" w:color="auto"/>
            </w:tcBorders>
            <w:shd w:val="clear" w:color="auto" w:fill="auto"/>
            <w:noWrap/>
            <w:vAlign w:val="center"/>
            <w:hideMark/>
          </w:tcPr>
          <w:p w14:paraId="0C884106"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84.32%</w:t>
            </w:r>
          </w:p>
        </w:tc>
        <w:tc>
          <w:tcPr>
            <w:tcW w:w="1629" w:type="dxa"/>
            <w:tcBorders>
              <w:top w:val="nil"/>
              <w:left w:val="nil"/>
              <w:bottom w:val="single" w:sz="4" w:space="0" w:color="auto"/>
              <w:right w:val="single" w:sz="4" w:space="0" w:color="auto"/>
            </w:tcBorders>
            <w:shd w:val="clear" w:color="auto" w:fill="auto"/>
            <w:vAlign w:val="center"/>
            <w:hideMark/>
          </w:tcPr>
          <w:p w14:paraId="6233302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87.42%</w:t>
            </w:r>
          </w:p>
        </w:tc>
        <w:tc>
          <w:tcPr>
            <w:tcW w:w="1630" w:type="dxa"/>
            <w:tcBorders>
              <w:top w:val="nil"/>
              <w:left w:val="nil"/>
              <w:bottom w:val="single" w:sz="4" w:space="0" w:color="auto"/>
              <w:right w:val="single" w:sz="8" w:space="0" w:color="auto"/>
            </w:tcBorders>
            <w:shd w:val="clear" w:color="auto" w:fill="auto"/>
            <w:vAlign w:val="center"/>
            <w:hideMark/>
          </w:tcPr>
          <w:p w14:paraId="60CA87F4"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81.98%</w:t>
            </w:r>
          </w:p>
        </w:tc>
      </w:tr>
      <w:tr w:rsidR="00EC0279" w:rsidRPr="0085077C" w14:paraId="6FADBCE0"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11694B3E"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Septal to Posterior Wall Ratio</w:t>
            </w:r>
          </w:p>
        </w:tc>
        <w:tc>
          <w:tcPr>
            <w:tcW w:w="1629" w:type="dxa"/>
            <w:tcBorders>
              <w:top w:val="nil"/>
              <w:left w:val="nil"/>
              <w:bottom w:val="single" w:sz="4" w:space="0" w:color="auto"/>
              <w:right w:val="single" w:sz="4" w:space="0" w:color="auto"/>
            </w:tcBorders>
            <w:shd w:val="clear" w:color="auto" w:fill="auto"/>
            <w:noWrap/>
            <w:vAlign w:val="center"/>
            <w:hideMark/>
          </w:tcPr>
          <w:p w14:paraId="0F7854C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1.26 ± 0.39</w:t>
            </w:r>
          </w:p>
        </w:tc>
        <w:tc>
          <w:tcPr>
            <w:tcW w:w="1629" w:type="dxa"/>
            <w:tcBorders>
              <w:top w:val="nil"/>
              <w:left w:val="nil"/>
              <w:bottom w:val="single" w:sz="4" w:space="0" w:color="auto"/>
              <w:right w:val="single" w:sz="4" w:space="0" w:color="auto"/>
            </w:tcBorders>
            <w:shd w:val="clear" w:color="auto" w:fill="auto"/>
            <w:vAlign w:val="center"/>
            <w:hideMark/>
          </w:tcPr>
          <w:p w14:paraId="165831AE"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1.67 ± 0.38</w:t>
            </w:r>
          </w:p>
        </w:tc>
        <w:tc>
          <w:tcPr>
            <w:tcW w:w="1630" w:type="dxa"/>
            <w:tcBorders>
              <w:top w:val="nil"/>
              <w:left w:val="nil"/>
              <w:bottom w:val="single" w:sz="4" w:space="0" w:color="auto"/>
              <w:right w:val="single" w:sz="8" w:space="0" w:color="auto"/>
            </w:tcBorders>
            <w:shd w:val="clear" w:color="auto" w:fill="auto"/>
            <w:vAlign w:val="center"/>
            <w:hideMark/>
          </w:tcPr>
          <w:p w14:paraId="50769137"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1.19 ± 0.31</w:t>
            </w:r>
          </w:p>
        </w:tc>
      </w:tr>
      <w:tr w:rsidR="00EC0279" w:rsidRPr="0085077C" w14:paraId="6A701960"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7733CBAB"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Septal to Posterior Wall Ratio &gt;1.3 %</w:t>
            </w:r>
          </w:p>
        </w:tc>
        <w:tc>
          <w:tcPr>
            <w:tcW w:w="1629" w:type="dxa"/>
            <w:tcBorders>
              <w:top w:val="nil"/>
              <w:left w:val="nil"/>
              <w:bottom w:val="single" w:sz="4" w:space="0" w:color="auto"/>
              <w:right w:val="single" w:sz="4" w:space="0" w:color="auto"/>
            </w:tcBorders>
            <w:shd w:val="clear" w:color="auto" w:fill="auto"/>
            <w:noWrap/>
            <w:vAlign w:val="center"/>
            <w:hideMark/>
          </w:tcPr>
          <w:p w14:paraId="19194759"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34.26%</w:t>
            </w:r>
          </w:p>
        </w:tc>
        <w:tc>
          <w:tcPr>
            <w:tcW w:w="1629" w:type="dxa"/>
            <w:tcBorders>
              <w:top w:val="nil"/>
              <w:left w:val="nil"/>
              <w:bottom w:val="single" w:sz="4" w:space="0" w:color="auto"/>
              <w:right w:val="single" w:sz="4" w:space="0" w:color="auto"/>
            </w:tcBorders>
            <w:shd w:val="clear" w:color="auto" w:fill="auto"/>
            <w:vAlign w:val="center"/>
            <w:hideMark/>
          </w:tcPr>
          <w:p w14:paraId="79D2EE4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100.00%</w:t>
            </w:r>
          </w:p>
        </w:tc>
        <w:tc>
          <w:tcPr>
            <w:tcW w:w="1630" w:type="dxa"/>
            <w:tcBorders>
              <w:top w:val="nil"/>
              <w:left w:val="nil"/>
              <w:bottom w:val="single" w:sz="4" w:space="0" w:color="auto"/>
              <w:right w:val="single" w:sz="8" w:space="0" w:color="auto"/>
            </w:tcBorders>
            <w:shd w:val="clear" w:color="auto" w:fill="auto"/>
            <w:vAlign w:val="center"/>
            <w:hideMark/>
          </w:tcPr>
          <w:p w14:paraId="2C0C2EE7"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24.93%</w:t>
            </w:r>
          </w:p>
        </w:tc>
      </w:tr>
      <w:tr w:rsidR="00384AFE" w:rsidRPr="0085077C" w14:paraId="3805B30E"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698A6053" w14:textId="065CC20E" w:rsidR="00384AFE" w:rsidRPr="006E3EB5" w:rsidRDefault="00384AFE" w:rsidP="00384AFE">
            <w:pPr>
              <w:spacing w:after="0" w:line="240" w:lineRule="auto"/>
              <w:rPr>
                <w:rFonts w:ascii="Calibri" w:eastAsia="Times New Roman" w:hAnsi="Calibri" w:cs="Calibri"/>
                <w:color w:val="000000"/>
                <w:highlight w:val="yellow"/>
                <w:lang w:eastAsia="en-GB"/>
              </w:rPr>
            </w:pPr>
            <w:r w:rsidRPr="00434B10">
              <w:rPr>
                <w:color w:val="000000"/>
              </w:rPr>
              <w:t>LVOT/AV Peak Gradient*</w:t>
            </w:r>
          </w:p>
        </w:tc>
        <w:tc>
          <w:tcPr>
            <w:tcW w:w="1629" w:type="dxa"/>
            <w:tcBorders>
              <w:top w:val="nil"/>
              <w:left w:val="nil"/>
              <w:bottom w:val="single" w:sz="4" w:space="0" w:color="auto"/>
              <w:right w:val="single" w:sz="4" w:space="0" w:color="auto"/>
            </w:tcBorders>
            <w:shd w:val="clear" w:color="auto" w:fill="auto"/>
            <w:noWrap/>
            <w:vAlign w:val="center"/>
            <w:hideMark/>
          </w:tcPr>
          <w:p w14:paraId="7C9E31EE"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21.08 ± 23.60</w:t>
            </w:r>
          </w:p>
        </w:tc>
        <w:tc>
          <w:tcPr>
            <w:tcW w:w="1629" w:type="dxa"/>
            <w:tcBorders>
              <w:top w:val="nil"/>
              <w:left w:val="nil"/>
              <w:bottom w:val="single" w:sz="4" w:space="0" w:color="auto"/>
              <w:right w:val="single" w:sz="4" w:space="0" w:color="auto"/>
            </w:tcBorders>
            <w:shd w:val="clear" w:color="auto" w:fill="auto"/>
            <w:vAlign w:val="center"/>
            <w:hideMark/>
          </w:tcPr>
          <w:p w14:paraId="5BEE793C"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16.58 ± 18.67</w:t>
            </w:r>
          </w:p>
        </w:tc>
        <w:tc>
          <w:tcPr>
            <w:tcW w:w="1630" w:type="dxa"/>
            <w:tcBorders>
              <w:top w:val="nil"/>
              <w:left w:val="nil"/>
              <w:bottom w:val="single" w:sz="4" w:space="0" w:color="auto"/>
              <w:right w:val="single" w:sz="8" w:space="0" w:color="auto"/>
            </w:tcBorders>
            <w:shd w:val="clear" w:color="auto" w:fill="auto"/>
            <w:vAlign w:val="center"/>
            <w:hideMark/>
          </w:tcPr>
          <w:p w14:paraId="66ADE3B6"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59.15 ± 25.91</w:t>
            </w:r>
          </w:p>
        </w:tc>
      </w:tr>
      <w:tr w:rsidR="00384AFE" w:rsidRPr="0085077C" w14:paraId="32B6A3BD"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4DB2F62E" w14:textId="58F89E12" w:rsidR="00384AFE" w:rsidRPr="006E3EB5" w:rsidRDefault="00384AFE" w:rsidP="00384AFE">
            <w:pPr>
              <w:spacing w:after="0" w:line="240" w:lineRule="auto"/>
              <w:rPr>
                <w:rFonts w:ascii="Calibri" w:eastAsia="Times New Roman" w:hAnsi="Calibri" w:cs="Calibri"/>
                <w:color w:val="000000"/>
                <w:highlight w:val="yellow"/>
                <w:lang w:eastAsia="en-GB"/>
              </w:rPr>
            </w:pPr>
            <w:r w:rsidRPr="00434B10">
              <w:rPr>
                <w:color w:val="000000"/>
              </w:rPr>
              <w:t xml:space="preserve">LVOT/AV Peak Gradient* </w:t>
            </w:r>
            <w:r w:rsidRPr="008D098A">
              <w:rPr>
                <w:rFonts w:cstheme="minorHAnsi"/>
                <w:sz w:val="24"/>
                <w:szCs w:val="24"/>
              </w:rPr>
              <w:t>≥</w:t>
            </w:r>
            <w:r w:rsidRPr="00434B10">
              <w:rPr>
                <w:color w:val="000000"/>
              </w:rPr>
              <w:t>30mmHg %</w:t>
            </w:r>
          </w:p>
        </w:tc>
        <w:tc>
          <w:tcPr>
            <w:tcW w:w="1629" w:type="dxa"/>
            <w:tcBorders>
              <w:top w:val="nil"/>
              <w:left w:val="nil"/>
              <w:bottom w:val="single" w:sz="4" w:space="0" w:color="auto"/>
              <w:right w:val="single" w:sz="4" w:space="0" w:color="auto"/>
            </w:tcBorders>
            <w:shd w:val="clear" w:color="auto" w:fill="auto"/>
            <w:noWrap/>
            <w:vAlign w:val="center"/>
            <w:hideMark/>
          </w:tcPr>
          <w:p w14:paraId="659B113C"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20.78%</w:t>
            </w:r>
          </w:p>
        </w:tc>
        <w:tc>
          <w:tcPr>
            <w:tcW w:w="1629" w:type="dxa"/>
            <w:tcBorders>
              <w:top w:val="nil"/>
              <w:left w:val="nil"/>
              <w:bottom w:val="single" w:sz="4" w:space="0" w:color="auto"/>
              <w:right w:val="single" w:sz="4" w:space="0" w:color="auto"/>
            </w:tcBorders>
            <w:shd w:val="clear" w:color="auto" w:fill="auto"/>
            <w:vAlign w:val="center"/>
            <w:hideMark/>
          </w:tcPr>
          <w:p w14:paraId="08F1126D"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14.43%</w:t>
            </w:r>
          </w:p>
        </w:tc>
        <w:tc>
          <w:tcPr>
            <w:tcW w:w="1630" w:type="dxa"/>
            <w:tcBorders>
              <w:top w:val="nil"/>
              <w:left w:val="nil"/>
              <w:bottom w:val="single" w:sz="4" w:space="0" w:color="auto"/>
              <w:right w:val="single" w:sz="8" w:space="0" w:color="auto"/>
            </w:tcBorders>
            <w:shd w:val="clear" w:color="auto" w:fill="auto"/>
            <w:vAlign w:val="center"/>
            <w:hideMark/>
          </w:tcPr>
          <w:p w14:paraId="235C9B18" w14:textId="77777777" w:rsidR="00384AFE" w:rsidRPr="0085077C" w:rsidRDefault="00384AFE" w:rsidP="00384AFE">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100.00%</w:t>
            </w:r>
          </w:p>
        </w:tc>
      </w:tr>
      <w:tr w:rsidR="00EC0279" w:rsidRPr="0085077C" w14:paraId="55E825A0" w14:textId="77777777" w:rsidTr="00CB0A16">
        <w:trPr>
          <w:trHeight w:val="280"/>
        </w:trPr>
        <w:tc>
          <w:tcPr>
            <w:tcW w:w="5043" w:type="dxa"/>
            <w:tcBorders>
              <w:top w:val="nil"/>
              <w:left w:val="single" w:sz="8" w:space="0" w:color="auto"/>
              <w:bottom w:val="single" w:sz="4" w:space="0" w:color="auto"/>
              <w:right w:val="single" w:sz="4" w:space="0" w:color="auto"/>
            </w:tcBorders>
            <w:shd w:val="clear" w:color="auto" w:fill="auto"/>
            <w:vAlign w:val="center"/>
            <w:hideMark/>
          </w:tcPr>
          <w:p w14:paraId="23B45018"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LVEF</w:t>
            </w:r>
          </w:p>
        </w:tc>
        <w:tc>
          <w:tcPr>
            <w:tcW w:w="1629" w:type="dxa"/>
            <w:tcBorders>
              <w:top w:val="nil"/>
              <w:left w:val="nil"/>
              <w:bottom w:val="single" w:sz="4" w:space="0" w:color="auto"/>
              <w:right w:val="single" w:sz="4" w:space="0" w:color="auto"/>
            </w:tcBorders>
            <w:shd w:val="clear" w:color="auto" w:fill="auto"/>
            <w:noWrap/>
            <w:vAlign w:val="center"/>
            <w:hideMark/>
          </w:tcPr>
          <w:p w14:paraId="577178AB"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60.36 ± 14.52</w:t>
            </w:r>
          </w:p>
        </w:tc>
        <w:tc>
          <w:tcPr>
            <w:tcW w:w="1629" w:type="dxa"/>
            <w:tcBorders>
              <w:top w:val="nil"/>
              <w:left w:val="nil"/>
              <w:bottom w:val="single" w:sz="4" w:space="0" w:color="auto"/>
              <w:right w:val="single" w:sz="4" w:space="0" w:color="auto"/>
            </w:tcBorders>
            <w:shd w:val="clear" w:color="auto" w:fill="auto"/>
            <w:vAlign w:val="center"/>
            <w:hideMark/>
          </w:tcPr>
          <w:p w14:paraId="372F0AB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57.76 ± 13.60</w:t>
            </w:r>
          </w:p>
        </w:tc>
        <w:tc>
          <w:tcPr>
            <w:tcW w:w="1630" w:type="dxa"/>
            <w:tcBorders>
              <w:top w:val="nil"/>
              <w:left w:val="nil"/>
              <w:bottom w:val="single" w:sz="4" w:space="0" w:color="auto"/>
              <w:right w:val="single" w:sz="8" w:space="0" w:color="auto"/>
            </w:tcBorders>
            <w:shd w:val="clear" w:color="auto" w:fill="auto"/>
            <w:vAlign w:val="center"/>
            <w:hideMark/>
          </w:tcPr>
          <w:p w14:paraId="22BA0896"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63.15 ± 14.54</w:t>
            </w:r>
          </w:p>
        </w:tc>
      </w:tr>
      <w:tr w:rsidR="00EC0279" w:rsidRPr="0085077C" w14:paraId="57670B0B"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45F861BD"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LVEF &lt;55%</w:t>
            </w:r>
          </w:p>
        </w:tc>
        <w:tc>
          <w:tcPr>
            <w:tcW w:w="1629" w:type="dxa"/>
            <w:tcBorders>
              <w:top w:val="nil"/>
              <w:left w:val="nil"/>
              <w:bottom w:val="single" w:sz="4" w:space="0" w:color="auto"/>
              <w:right w:val="single" w:sz="4" w:space="0" w:color="auto"/>
            </w:tcBorders>
            <w:shd w:val="clear" w:color="000000" w:fill="FFFFFF"/>
            <w:noWrap/>
            <w:vAlign w:val="center"/>
            <w:hideMark/>
          </w:tcPr>
          <w:p w14:paraId="64CA57BD"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28.04%</w:t>
            </w:r>
          </w:p>
        </w:tc>
        <w:tc>
          <w:tcPr>
            <w:tcW w:w="1629" w:type="dxa"/>
            <w:tcBorders>
              <w:top w:val="nil"/>
              <w:left w:val="nil"/>
              <w:bottom w:val="single" w:sz="4" w:space="0" w:color="auto"/>
              <w:right w:val="single" w:sz="4" w:space="0" w:color="auto"/>
            </w:tcBorders>
            <w:shd w:val="clear" w:color="000000" w:fill="FFFFFF"/>
            <w:vAlign w:val="center"/>
            <w:hideMark/>
          </w:tcPr>
          <w:p w14:paraId="4194E3D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30.93%</w:t>
            </w:r>
          </w:p>
        </w:tc>
        <w:tc>
          <w:tcPr>
            <w:tcW w:w="1630" w:type="dxa"/>
            <w:tcBorders>
              <w:top w:val="nil"/>
              <w:left w:val="nil"/>
              <w:bottom w:val="single" w:sz="4" w:space="0" w:color="auto"/>
              <w:right w:val="single" w:sz="8" w:space="0" w:color="auto"/>
            </w:tcBorders>
            <w:shd w:val="clear" w:color="000000" w:fill="FFFFFF"/>
            <w:vAlign w:val="center"/>
            <w:hideMark/>
          </w:tcPr>
          <w:p w14:paraId="07F4DA4A"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22.07%</w:t>
            </w:r>
          </w:p>
        </w:tc>
      </w:tr>
      <w:tr w:rsidR="00EC0279" w:rsidRPr="0085077C" w14:paraId="39DA6B4E"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271F8DBF" w14:textId="49BAFC78"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 xml:space="preserve">LVEF </w:t>
            </w:r>
            <w:r w:rsidR="007D5C93" w:rsidRPr="004B22CD">
              <w:rPr>
                <w:rFonts w:cstheme="minorHAnsi"/>
                <w:sz w:val="24"/>
                <w:szCs w:val="24"/>
              </w:rPr>
              <w:t>≥</w:t>
            </w:r>
            <w:r w:rsidRPr="0085077C">
              <w:rPr>
                <w:rFonts w:ascii="Calibri" w:eastAsia="Times New Roman" w:hAnsi="Calibri" w:cs="Calibri"/>
                <w:color w:val="000000"/>
                <w:lang w:eastAsia="en-GB"/>
              </w:rPr>
              <w:t>55%</w:t>
            </w:r>
          </w:p>
        </w:tc>
        <w:tc>
          <w:tcPr>
            <w:tcW w:w="1629" w:type="dxa"/>
            <w:tcBorders>
              <w:top w:val="nil"/>
              <w:left w:val="nil"/>
              <w:bottom w:val="single" w:sz="4" w:space="0" w:color="auto"/>
              <w:right w:val="single" w:sz="4" w:space="0" w:color="auto"/>
            </w:tcBorders>
            <w:shd w:val="clear" w:color="000000" w:fill="FFFFFF"/>
            <w:noWrap/>
            <w:vAlign w:val="center"/>
            <w:hideMark/>
          </w:tcPr>
          <w:p w14:paraId="008DAFAF"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71.96%</w:t>
            </w:r>
          </w:p>
        </w:tc>
        <w:tc>
          <w:tcPr>
            <w:tcW w:w="1629" w:type="dxa"/>
            <w:tcBorders>
              <w:top w:val="nil"/>
              <w:left w:val="nil"/>
              <w:bottom w:val="single" w:sz="4" w:space="0" w:color="auto"/>
              <w:right w:val="single" w:sz="4" w:space="0" w:color="auto"/>
            </w:tcBorders>
            <w:shd w:val="clear" w:color="000000" w:fill="FFFFFF"/>
            <w:vAlign w:val="center"/>
            <w:hideMark/>
          </w:tcPr>
          <w:p w14:paraId="5699712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69.07%</w:t>
            </w:r>
          </w:p>
        </w:tc>
        <w:tc>
          <w:tcPr>
            <w:tcW w:w="1630" w:type="dxa"/>
            <w:tcBorders>
              <w:top w:val="nil"/>
              <w:left w:val="nil"/>
              <w:bottom w:val="single" w:sz="4" w:space="0" w:color="auto"/>
              <w:right w:val="single" w:sz="8" w:space="0" w:color="auto"/>
            </w:tcBorders>
            <w:shd w:val="clear" w:color="000000" w:fill="FFFFFF"/>
            <w:vAlign w:val="center"/>
            <w:hideMark/>
          </w:tcPr>
          <w:p w14:paraId="57963E2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77.93%</w:t>
            </w:r>
          </w:p>
        </w:tc>
      </w:tr>
      <w:tr w:rsidR="00EC0279" w:rsidRPr="0085077C" w14:paraId="5A7A4275"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0B5357B8"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Mitral E wave velocity,</w:t>
            </w:r>
          </w:p>
        </w:tc>
        <w:tc>
          <w:tcPr>
            <w:tcW w:w="1629" w:type="dxa"/>
            <w:tcBorders>
              <w:top w:val="nil"/>
              <w:left w:val="nil"/>
              <w:bottom w:val="single" w:sz="4" w:space="0" w:color="auto"/>
              <w:right w:val="single" w:sz="4" w:space="0" w:color="auto"/>
            </w:tcBorders>
            <w:shd w:val="clear" w:color="000000" w:fill="FFFFFF"/>
            <w:noWrap/>
            <w:vAlign w:val="center"/>
            <w:hideMark/>
          </w:tcPr>
          <w:p w14:paraId="1758F32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83.82 ± 31.93</w:t>
            </w:r>
          </w:p>
        </w:tc>
        <w:tc>
          <w:tcPr>
            <w:tcW w:w="1629" w:type="dxa"/>
            <w:tcBorders>
              <w:top w:val="nil"/>
              <w:left w:val="nil"/>
              <w:bottom w:val="single" w:sz="4" w:space="0" w:color="auto"/>
              <w:right w:val="single" w:sz="4" w:space="0" w:color="auto"/>
            </w:tcBorders>
            <w:shd w:val="clear" w:color="000000" w:fill="FFFFFF"/>
            <w:vAlign w:val="center"/>
            <w:hideMark/>
          </w:tcPr>
          <w:p w14:paraId="4A74F9AE"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79.67 ± 29.73</w:t>
            </w:r>
          </w:p>
        </w:tc>
        <w:tc>
          <w:tcPr>
            <w:tcW w:w="1630" w:type="dxa"/>
            <w:tcBorders>
              <w:top w:val="nil"/>
              <w:left w:val="nil"/>
              <w:bottom w:val="single" w:sz="4" w:space="0" w:color="auto"/>
              <w:right w:val="single" w:sz="8" w:space="0" w:color="auto"/>
            </w:tcBorders>
            <w:shd w:val="clear" w:color="000000" w:fill="FFFFFF"/>
            <w:vAlign w:val="center"/>
            <w:hideMark/>
          </w:tcPr>
          <w:p w14:paraId="049B723D"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96.03 ± 36.71</w:t>
            </w:r>
          </w:p>
        </w:tc>
      </w:tr>
      <w:tr w:rsidR="00EC0279" w:rsidRPr="0085077C" w14:paraId="04ED4D08"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1F547A77"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Mitral E wave velocity &gt;90cm/s %</w:t>
            </w:r>
          </w:p>
        </w:tc>
        <w:tc>
          <w:tcPr>
            <w:tcW w:w="1629" w:type="dxa"/>
            <w:tcBorders>
              <w:top w:val="nil"/>
              <w:left w:val="nil"/>
              <w:bottom w:val="single" w:sz="4" w:space="0" w:color="auto"/>
              <w:right w:val="single" w:sz="4" w:space="0" w:color="auto"/>
            </w:tcBorders>
            <w:shd w:val="clear" w:color="000000" w:fill="FFFFFF"/>
            <w:noWrap/>
            <w:vAlign w:val="center"/>
            <w:hideMark/>
          </w:tcPr>
          <w:p w14:paraId="06EAF9A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34.25%</w:t>
            </w:r>
          </w:p>
        </w:tc>
        <w:tc>
          <w:tcPr>
            <w:tcW w:w="1629" w:type="dxa"/>
            <w:tcBorders>
              <w:top w:val="nil"/>
              <w:left w:val="nil"/>
              <w:bottom w:val="single" w:sz="4" w:space="0" w:color="auto"/>
              <w:right w:val="single" w:sz="4" w:space="0" w:color="auto"/>
            </w:tcBorders>
            <w:shd w:val="clear" w:color="000000" w:fill="FFFFFF"/>
            <w:vAlign w:val="center"/>
            <w:hideMark/>
          </w:tcPr>
          <w:p w14:paraId="7F784E0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29.61%</w:t>
            </w:r>
          </w:p>
        </w:tc>
        <w:tc>
          <w:tcPr>
            <w:tcW w:w="1630" w:type="dxa"/>
            <w:tcBorders>
              <w:top w:val="nil"/>
              <w:left w:val="nil"/>
              <w:bottom w:val="single" w:sz="4" w:space="0" w:color="auto"/>
              <w:right w:val="single" w:sz="8" w:space="0" w:color="auto"/>
            </w:tcBorders>
            <w:shd w:val="clear" w:color="000000" w:fill="FFFFFF"/>
            <w:vAlign w:val="center"/>
            <w:hideMark/>
          </w:tcPr>
          <w:p w14:paraId="4555BAD5"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49.14%</w:t>
            </w:r>
          </w:p>
        </w:tc>
      </w:tr>
      <w:tr w:rsidR="00EC0279" w:rsidRPr="0085077C" w14:paraId="42DF5F93"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1EB0E29B"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 septal e’ velocity</w:t>
            </w:r>
          </w:p>
        </w:tc>
        <w:tc>
          <w:tcPr>
            <w:tcW w:w="1629" w:type="dxa"/>
            <w:tcBorders>
              <w:top w:val="nil"/>
              <w:left w:val="nil"/>
              <w:bottom w:val="single" w:sz="4" w:space="0" w:color="auto"/>
              <w:right w:val="single" w:sz="4" w:space="0" w:color="auto"/>
            </w:tcBorders>
            <w:shd w:val="clear" w:color="000000" w:fill="FFFFFF"/>
            <w:noWrap/>
            <w:vAlign w:val="center"/>
            <w:hideMark/>
          </w:tcPr>
          <w:p w14:paraId="02F21EB7"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6.28 ± 2.22</w:t>
            </w:r>
          </w:p>
        </w:tc>
        <w:tc>
          <w:tcPr>
            <w:tcW w:w="1629" w:type="dxa"/>
            <w:tcBorders>
              <w:top w:val="nil"/>
              <w:left w:val="nil"/>
              <w:bottom w:val="single" w:sz="4" w:space="0" w:color="auto"/>
              <w:right w:val="single" w:sz="4" w:space="0" w:color="auto"/>
            </w:tcBorders>
            <w:shd w:val="clear" w:color="000000" w:fill="FFFFFF"/>
            <w:vAlign w:val="center"/>
            <w:hideMark/>
          </w:tcPr>
          <w:p w14:paraId="1D91141F"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6.13 ± 2.19</w:t>
            </w:r>
          </w:p>
        </w:tc>
        <w:tc>
          <w:tcPr>
            <w:tcW w:w="1630" w:type="dxa"/>
            <w:tcBorders>
              <w:top w:val="nil"/>
              <w:left w:val="nil"/>
              <w:bottom w:val="single" w:sz="4" w:space="0" w:color="auto"/>
              <w:right w:val="single" w:sz="8" w:space="0" w:color="auto"/>
            </w:tcBorders>
            <w:shd w:val="clear" w:color="000000" w:fill="FFFFFF"/>
            <w:vAlign w:val="center"/>
            <w:hideMark/>
          </w:tcPr>
          <w:p w14:paraId="61BDA13C"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6.17 ± 2.22</w:t>
            </w:r>
          </w:p>
        </w:tc>
      </w:tr>
      <w:tr w:rsidR="00EC0279" w:rsidRPr="0085077C" w14:paraId="7C66EBFC"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0E627002"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LV septal e’ velocity &lt;9cm/s %</w:t>
            </w:r>
          </w:p>
        </w:tc>
        <w:tc>
          <w:tcPr>
            <w:tcW w:w="1629" w:type="dxa"/>
            <w:tcBorders>
              <w:top w:val="nil"/>
              <w:left w:val="nil"/>
              <w:bottom w:val="single" w:sz="4" w:space="0" w:color="auto"/>
              <w:right w:val="single" w:sz="4" w:space="0" w:color="auto"/>
            </w:tcBorders>
            <w:shd w:val="clear" w:color="000000" w:fill="FFFFFF"/>
            <w:noWrap/>
            <w:vAlign w:val="center"/>
            <w:hideMark/>
          </w:tcPr>
          <w:p w14:paraId="716FBBE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84.49%</w:t>
            </w:r>
          </w:p>
        </w:tc>
        <w:tc>
          <w:tcPr>
            <w:tcW w:w="1629" w:type="dxa"/>
            <w:tcBorders>
              <w:top w:val="nil"/>
              <w:left w:val="nil"/>
              <w:bottom w:val="single" w:sz="4" w:space="0" w:color="auto"/>
              <w:right w:val="single" w:sz="4" w:space="0" w:color="auto"/>
            </w:tcBorders>
            <w:shd w:val="clear" w:color="000000" w:fill="FFFFFF"/>
            <w:vAlign w:val="center"/>
            <w:hideMark/>
          </w:tcPr>
          <w:p w14:paraId="6687F863"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87.37%</w:t>
            </w:r>
          </w:p>
        </w:tc>
        <w:tc>
          <w:tcPr>
            <w:tcW w:w="1630" w:type="dxa"/>
            <w:tcBorders>
              <w:top w:val="nil"/>
              <w:left w:val="nil"/>
              <w:bottom w:val="single" w:sz="4" w:space="0" w:color="auto"/>
              <w:right w:val="single" w:sz="8" w:space="0" w:color="auto"/>
            </w:tcBorders>
            <w:shd w:val="clear" w:color="000000" w:fill="FFFFFF"/>
            <w:vAlign w:val="center"/>
            <w:hideMark/>
          </w:tcPr>
          <w:p w14:paraId="0950D0CD"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84.77%</w:t>
            </w:r>
          </w:p>
        </w:tc>
      </w:tr>
      <w:tr w:rsidR="00EC0279" w:rsidRPr="0085077C" w14:paraId="621A4E19"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13782680"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Mitral E:e’ ratio</w:t>
            </w:r>
          </w:p>
        </w:tc>
        <w:tc>
          <w:tcPr>
            <w:tcW w:w="1629" w:type="dxa"/>
            <w:tcBorders>
              <w:top w:val="nil"/>
              <w:left w:val="nil"/>
              <w:bottom w:val="single" w:sz="4" w:space="0" w:color="auto"/>
              <w:right w:val="single" w:sz="4" w:space="0" w:color="auto"/>
            </w:tcBorders>
            <w:shd w:val="clear" w:color="000000" w:fill="FFFFFF"/>
            <w:noWrap/>
            <w:vAlign w:val="center"/>
            <w:hideMark/>
          </w:tcPr>
          <w:p w14:paraId="0369AB09"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13.73 ± 6.09</w:t>
            </w:r>
          </w:p>
        </w:tc>
        <w:tc>
          <w:tcPr>
            <w:tcW w:w="1629" w:type="dxa"/>
            <w:tcBorders>
              <w:top w:val="nil"/>
              <w:left w:val="nil"/>
              <w:bottom w:val="single" w:sz="4" w:space="0" w:color="auto"/>
              <w:right w:val="single" w:sz="4" w:space="0" w:color="auto"/>
            </w:tcBorders>
            <w:shd w:val="clear" w:color="000000" w:fill="FFFFFF"/>
            <w:vAlign w:val="center"/>
            <w:hideMark/>
          </w:tcPr>
          <w:p w14:paraId="07D3240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13.22 ± 5.77</w:t>
            </w:r>
          </w:p>
        </w:tc>
        <w:tc>
          <w:tcPr>
            <w:tcW w:w="1630" w:type="dxa"/>
            <w:tcBorders>
              <w:top w:val="nil"/>
              <w:left w:val="nil"/>
              <w:bottom w:val="single" w:sz="4" w:space="0" w:color="auto"/>
              <w:right w:val="single" w:sz="8" w:space="0" w:color="auto"/>
            </w:tcBorders>
            <w:shd w:val="clear" w:color="000000" w:fill="FFFFFF"/>
            <w:vAlign w:val="center"/>
            <w:hideMark/>
          </w:tcPr>
          <w:p w14:paraId="4A19FD6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15.50 ± 6.84</w:t>
            </w:r>
          </w:p>
        </w:tc>
      </w:tr>
      <w:tr w:rsidR="00EC0279" w:rsidRPr="0085077C" w14:paraId="6BF421FE"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26330973"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Mitral E:e’ ratio &gt;9 %</w:t>
            </w:r>
          </w:p>
        </w:tc>
        <w:tc>
          <w:tcPr>
            <w:tcW w:w="1629" w:type="dxa"/>
            <w:tcBorders>
              <w:top w:val="nil"/>
              <w:left w:val="nil"/>
              <w:bottom w:val="single" w:sz="4" w:space="0" w:color="auto"/>
              <w:right w:val="single" w:sz="4" w:space="0" w:color="auto"/>
            </w:tcBorders>
            <w:shd w:val="clear" w:color="000000" w:fill="FFFFFF"/>
            <w:noWrap/>
            <w:vAlign w:val="center"/>
            <w:hideMark/>
          </w:tcPr>
          <w:p w14:paraId="0EFE37A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82.16%</w:t>
            </w:r>
          </w:p>
        </w:tc>
        <w:tc>
          <w:tcPr>
            <w:tcW w:w="1629" w:type="dxa"/>
            <w:tcBorders>
              <w:top w:val="nil"/>
              <w:left w:val="nil"/>
              <w:bottom w:val="single" w:sz="4" w:space="0" w:color="auto"/>
              <w:right w:val="single" w:sz="4" w:space="0" w:color="auto"/>
            </w:tcBorders>
            <w:shd w:val="clear" w:color="000000" w:fill="FFFFFF"/>
            <w:vAlign w:val="center"/>
            <w:hideMark/>
          </w:tcPr>
          <w:p w14:paraId="49A8CD77"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77.67%</w:t>
            </w:r>
          </w:p>
        </w:tc>
        <w:tc>
          <w:tcPr>
            <w:tcW w:w="1630" w:type="dxa"/>
            <w:tcBorders>
              <w:top w:val="nil"/>
              <w:left w:val="nil"/>
              <w:bottom w:val="single" w:sz="4" w:space="0" w:color="auto"/>
              <w:right w:val="single" w:sz="8" w:space="0" w:color="auto"/>
            </w:tcBorders>
            <w:shd w:val="clear" w:color="000000" w:fill="FFFFFF"/>
            <w:vAlign w:val="center"/>
            <w:hideMark/>
          </w:tcPr>
          <w:p w14:paraId="6BDF2DFD"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90.58%</w:t>
            </w:r>
          </w:p>
        </w:tc>
      </w:tr>
      <w:tr w:rsidR="00EC0279" w:rsidRPr="0085077C" w14:paraId="33DB05C7" w14:textId="77777777" w:rsidTr="00CB0A16">
        <w:trPr>
          <w:trHeight w:val="280"/>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0FC8FA72"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Left atrial volume index, ml/m</w:t>
            </w:r>
            <w:r w:rsidRPr="0085077C">
              <w:rPr>
                <w:rFonts w:ascii="Calibri" w:eastAsia="Times New Roman" w:hAnsi="Calibri" w:cs="Calibri"/>
                <w:color w:val="000000"/>
                <w:sz w:val="20"/>
                <w:szCs w:val="20"/>
                <w:vertAlign w:val="superscript"/>
                <w:lang w:eastAsia="en-GB"/>
              </w:rPr>
              <w:t>2</w:t>
            </w:r>
          </w:p>
        </w:tc>
        <w:tc>
          <w:tcPr>
            <w:tcW w:w="1629" w:type="dxa"/>
            <w:tcBorders>
              <w:top w:val="nil"/>
              <w:left w:val="nil"/>
              <w:bottom w:val="single" w:sz="4" w:space="0" w:color="auto"/>
              <w:right w:val="single" w:sz="4" w:space="0" w:color="auto"/>
            </w:tcBorders>
            <w:shd w:val="clear" w:color="000000" w:fill="FFFFFF"/>
            <w:noWrap/>
            <w:vAlign w:val="center"/>
            <w:hideMark/>
          </w:tcPr>
          <w:p w14:paraId="2C3CB3EB"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59.71 ± 36.22</w:t>
            </w:r>
          </w:p>
        </w:tc>
        <w:tc>
          <w:tcPr>
            <w:tcW w:w="1629" w:type="dxa"/>
            <w:tcBorders>
              <w:top w:val="nil"/>
              <w:left w:val="nil"/>
              <w:bottom w:val="single" w:sz="4" w:space="0" w:color="auto"/>
              <w:right w:val="single" w:sz="4" w:space="0" w:color="auto"/>
            </w:tcBorders>
            <w:shd w:val="clear" w:color="000000" w:fill="FFFFFF"/>
            <w:vAlign w:val="center"/>
            <w:hideMark/>
          </w:tcPr>
          <w:p w14:paraId="2FCF034E"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50.45 ± 27.59</w:t>
            </w:r>
          </w:p>
        </w:tc>
        <w:tc>
          <w:tcPr>
            <w:tcW w:w="1630" w:type="dxa"/>
            <w:tcBorders>
              <w:top w:val="nil"/>
              <w:left w:val="nil"/>
              <w:bottom w:val="single" w:sz="4" w:space="0" w:color="auto"/>
              <w:right w:val="single" w:sz="8" w:space="0" w:color="auto"/>
            </w:tcBorders>
            <w:shd w:val="clear" w:color="000000" w:fill="FFFFFF"/>
            <w:vAlign w:val="center"/>
            <w:hideMark/>
          </w:tcPr>
          <w:p w14:paraId="33BEA55F"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72.57± 41.78</w:t>
            </w:r>
          </w:p>
        </w:tc>
      </w:tr>
      <w:tr w:rsidR="00EC0279" w:rsidRPr="0085077C" w14:paraId="21533E3D" w14:textId="77777777" w:rsidTr="00CB0A16">
        <w:trPr>
          <w:trHeight w:val="296"/>
        </w:trPr>
        <w:tc>
          <w:tcPr>
            <w:tcW w:w="5043" w:type="dxa"/>
            <w:tcBorders>
              <w:top w:val="nil"/>
              <w:left w:val="single" w:sz="8" w:space="0" w:color="auto"/>
              <w:bottom w:val="single" w:sz="4" w:space="0" w:color="auto"/>
              <w:right w:val="single" w:sz="4" w:space="0" w:color="auto"/>
            </w:tcBorders>
            <w:shd w:val="clear" w:color="000000" w:fill="FFFFFF"/>
            <w:vAlign w:val="center"/>
            <w:hideMark/>
          </w:tcPr>
          <w:p w14:paraId="74797C15"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Left atrial volume index, &gt;34ml/m</w:t>
            </w:r>
            <w:r w:rsidRPr="0085077C">
              <w:rPr>
                <w:rFonts w:ascii="Calibri" w:eastAsia="Times New Roman" w:hAnsi="Calibri" w:cs="Calibri"/>
                <w:color w:val="000000"/>
                <w:sz w:val="20"/>
                <w:szCs w:val="20"/>
                <w:vertAlign w:val="superscript"/>
                <w:lang w:eastAsia="en-GB"/>
              </w:rPr>
              <w:t>2</w:t>
            </w:r>
            <w:r w:rsidRPr="0085077C">
              <w:rPr>
                <w:rFonts w:ascii="Calibri" w:eastAsia="Times New Roman" w:hAnsi="Calibri" w:cs="Calibri"/>
                <w:color w:val="000000"/>
                <w:lang w:eastAsia="en-GB"/>
              </w:rPr>
              <w:t> %</w:t>
            </w:r>
          </w:p>
        </w:tc>
        <w:tc>
          <w:tcPr>
            <w:tcW w:w="1629" w:type="dxa"/>
            <w:tcBorders>
              <w:top w:val="nil"/>
              <w:left w:val="nil"/>
              <w:bottom w:val="single" w:sz="4" w:space="0" w:color="auto"/>
              <w:right w:val="single" w:sz="4" w:space="0" w:color="auto"/>
            </w:tcBorders>
            <w:shd w:val="clear" w:color="000000" w:fill="FFFFFF"/>
            <w:noWrap/>
            <w:vAlign w:val="center"/>
            <w:hideMark/>
          </w:tcPr>
          <w:p w14:paraId="739A14D5"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76.47%</w:t>
            </w:r>
          </w:p>
        </w:tc>
        <w:tc>
          <w:tcPr>
            <w:tcW w:w="1629" w:type="dxa"/>
            <w:tcBorders>
              <w:top w:val="nil"/>
              <w:left w:val="nil"/>
              <w:bottom w:val="single" w:sz="4" w:space="0" w:color="auto"/>
              <w:right w:val="single" w:sz="4" w:space="0" w:color="auto"/>
            </w:tcBorders>
            <w:shd w:val="clear" w:color="000000" w:fill="FFFFFF"/>
            <w:vAlign w:val="center"/>
            <w:hideMark/>
          </w:tcPr>
          <w:p w14:paraId="791E1C19"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72.18%</w:t>
            </w:r>
          </w:p>
        </w:tc>
        <w:tc>
          <w:tcPr>
            <w:tcW w:w="1630" w:type="dxa"/>
            <w:tcBorders>
              <w:top w:val="nil"/>
              <w:left w:val="nil"/>
              <w:bottom w:val="single" w:sz="4" w:space="0" w:color="auto"/>
              <w:right w:val="single" w:sz="8" w:space="0" w:color="auto"/>
            </w:tcBorders>
            <w:shd w:val="clear" w:color="000000" w:fill="FFFFFF"/>
            <w:vAlign w:val="center"/>
            <w:hideMark/>
          </w:tcPr>
          <w:p w14:paraId="1328DA81"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86.73%</w:t>
            </w:r>
          </w:p>
        </w:tc>
      </w:tr>
      <w:tr w:rsidR="00EC0279" w:rsidRPr="0085077C" w14:paraId="492872AF" w14:textId="77777777" w:rsidTr="00CB0A16">
        <w:trPr>
          <w:trHeight w:val="296"/>
        </w:trPr>
        <w:tc>
          <w:tcPr>
            <w:tcW w:w="5043" w:type="dxa"/>
            <w:tcBorders>
              <w:top w:val="nil"/>
              <w:left w:val="single" w:sz="8" w:space="0" w:color="auto"/>
              <w:bottom w:val="single" w:sz="8" w:space="0" w:color="auto"/>
              <w:right w:val="single" w:sz="4" w:space="0" w:color="auto"/>
            </w:tcBorders>
            <w:shd w:val="clear" w:color="000000" w:fill="FFFFFF"/>
            <w:vAlign w:val="center"/>
            <w:hideMark/>
          </w:tcPr>
          <w:p w14:paraId="1187668E" w14:textId="77777777" w:rsidR="00EC0279" w:rsidRPr="0085077C" w:rsidRDefault="00EC0279" w:rsidP="00DE0218">
            <w:pPr>
              <w:spacing w:after="0" w:line="240" w:lineRule="auto"/>
              <w:rPr>
                <w:rFonts w:ascii="Calibri" w:eastAsia="Times New Roman" w:hAnsi="Calibri" w:cs="Calibri"/>
                <w:color w:val="000000"/>
                <w:lang w:eastAsia="en-GB"/>
              </w:rPr>
            </w:pPr>
            <w:r w:rsidRPr="0085077C">
              <w:rPr>
                <w:rFonts w:ascii="Calibri" w:eastAsia="Times New Roman" w:hAnsi="Calibri" w:cs="Calibri"/>
                <w:color w:val="000000"/>
                <w:lang w:eastAsia="en-GB"/>
              </w:rPr>
              <w:t>Moderate-to-Severe mitral regurgitation, %</w:t>
            </w:r>
          </w:p>
        </w:tc>
        <w:tc>
          <w:tcPr>
            <w:tcW w:w="1629" w:type="dxa"/>
            <w:tcBorders>
              <w:top w:val="nil"/>
              <w:left w:val="nil"/>
              <w:bottom w:val="single" w:sz="8" w:space="0" w:color="auto"/>
              <w:right w:val="single" w:sz="4" w:space="0" w:color="auto"/>
            </w:tcBorders>
            <w:shd w:val="clear" w:color="000000" w:fill="FFFFFF"/>
            <w:noWrap/>
            <w:vAlign w:val="center"/>
            <w:hideMark/>
          </w:tcPr>
          <w:p w14:paraId="12761880"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13.18%</w:t>
            </w:r>
          </w:p>
        </w:tc>
        <w:tc>
          <w:tcPr>
            <w:tcW w:w="1629" w:type="dxa"/>
            <w:tcBorders>
              <w:top w:val="nil"/>
              <w:left w:val="nil"/>
              <w:bottom w:val="single" w:sz="8" w:space="0" w:color="auto"/>
              <w:right w:val="single" w:sz="4" w:space="0" w:color="auto"/>
            </w:tcBorders>
            <w:shd w:val="clear" w:color="000000" w:fill="FFFFFF"/>
            <w:vAlign w:val="center"/>
            <w:hideMark/>
          </w:tcPr>
          <w:p w14:paraId="5796A1D8"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15.14%</w:t>
            </w:r>
          </w:p>
        </w:tc>
        <w:tc>
          <w:tcPr>
            <w:tcW w:w="1630" w:type="dxa"/>
            <w:tcBorders>
              <w:top w:val="nil"/>
              <w:left w:val="nil"/>
              <w:bottom w:val="single" w:sz="8" w:space="0" w:color="auto"/>
              <w:right w:val="single" w:sz="8" w:space="0" w:color="auto"/>
            </w:tcBorders>
            <w:shd w:val="clear" w:color="000000" w:fill="FFFFFF"/>
            <w:vAlign w:val="center"/>
            <w:hideMark/>
          </w:tcPr>
          <w:p w14:paraId="48CBAFEA" w14:textId="77777777" w:rsidR="00EC0279" w:rsidRPr="0085077C" w:rsidRDefault="00EC0279" w:rsidP="00DE0218">
            <w:pPr>
              <w:spacing w:after="0" w:line="240" w:lineRule="auto"/>
              <w:jc w:val="center"/>
              <w:rPr>
                <w:rFonts w:ascii="Calibri" w:eastAsia="Times New Roman" w:hAnsi="Calibri" w:cs="Calibri"/>
                <w:color w:val="000000"/>
                <w:lang w:eastAsia="en-GB"/>
              </w:rPr>
            </w:pPr>
            <w:r w:rsidRPr="0085077C">
              <w:rPr>
                <w:rFonts w:ascii="Calibri" w:eastAsia="Times New Roman" w:hAnsi="Calibri" w:cs="Calibri"/>
                <w:color w:val="000000"/>
                <w:lang w:eastAsia="en-GB"/>
              </w:rPr>
              <w:t>15.85%</w:t>
            </w:r>
          </w:p>
        </w:tc>
      </w:tr>
    </w:tbl>
    <w:p w14:paraId="2FC472C6" w14:textId="77777777" w:rsidR="00EC0279" w:rsidRDefault="00EC0279" w:rsidP="00EC0279">
      <w:pPr>
        <w:spacing w:after="0" w:line="360" w:lineRule="auto"/>
        <w:jc w:val="center"/>
        <w:rPr>
          <w:b/>
          <w:bCs/>
          <w:smallCaps/>
          <w:noProof/>
          <w:color w:val="0070C0"/>
          <w:sz w:val="28"/>
          <w:szCs w:val="28"/>
        </w:rPr>
      </w:pPr>
    </w:p>
    <w:p w14:paraId="1E73EF8C" w14:textId="5EB9DC69" w:rsidR="00EC0279" w:rsidRPr="00F32DFA" w:rsidRDefault="005A12BD" w:rsidP="00CB0A16">
      <w:pPr>
        <w:spacing w:after="0" w:line="360" w:lineRule="auto"/>
        <w:ind w:right="-330"/>
        <w:rPr>
          <w:b/>
          <w:bCs/>
          <w:smallCaps/>
          <w:noProof/>
          <w:color w:val="0070C0"/>
        </w:rPr>
      </w:pPr>
      <w:r w:rsidRPr="00F32DFA">
        <w:rPr>
          <w:rFonts w:cstheme="minorHAnsi"/>
          <w:b/>
          <w:bCs/>
        </w:rPr>
        <w:t>Legend</w:t>
      </w:r>
      <w:r w:rsidRPr="00F32DFA">
        <w:rPr>
          <w:rFonts w:cstheme="minorHAnsi"/>
        </w:rPr>
        <w:t xml:space="preserve">: *Continuous-Wave Doppler Evaluation of LVOT/AV velocities; </w:t>
      </w:r>
      <w:r w:rsidR="00251E6A">
        <w:rPr>
          <w:rFonts w:cstheme="minorHAnsi"/>
        </w:rPr>
        <w:t>a</w:t>
      </w:r>
      <w:r w:rsidR="00251E6A" w:rsidRPr="00251E6A">
        <w:rPr>
          <w:rFonts w:cstheme="minorHAnsi"/>
        </w:rPr>
        <w:t xml:space="preserve">symmetric </w:t>
      </w:r>
      <w:r w:rsidR="00251E6A">
        <w:rPr>
          <w:rFonts w:cstheme="minorHAnsi"/>
        </w:rPr>
        <w:t>s</w:t>
      </w:r>
      <w:r w:rsidR="00251E6A" w:rsidRPr="00251E6A">
        <w:rPr>
          <w:rFonts w:cstheme="minorHAnsi"/>
        </w:rPr>
        <w:t xml:space="preserve">eptal </w:t>
      </w:r>
      <w:r w:rsidR="00251E6A">
        <w:rPr>
          <w:rFonts w:cstheme="minorHAnsi"/>
        </w:rPr>
        <w:t>h</w:t>
      </w:r>
      <w:r w:rsidR="00251E6A" w:rsidRPr="00251E6A">
        <w:rPr>
          <w:rFonts w:cstheme="minorHAnsi"/>
        </w:rPr>
        <w:t>ypertrophy (ASH)</w:t>
      </w:r>
      <w:r w:rsidR="00251E6A">
        <w:rPr>
          <w:rFonts w:cstheme="minorHAnsi"/>
        </w:rPr>
        <w:t xml:space="preserve"> defined as s</w:t>
      </w:r>
      <w:r w:rsidR="00251E6A" w:rsidRPr="00251E6A">
        <w:rPr>
          <w:rFonts w:cstheme="minorHAnsi"/>
        </w:rPr>
        <w:t>eptal to posterior wall thickness ratio &gt;1.3</w:t>
      </w:r>
      <w:r w:rsidR="00251E6A">
        <w:rPr>
          <w:rFonts w:cstheme="minorHAnsi"/>
        </w:rPr>
        <w:t xml:space="preserve">; </w:t>
      </w:r>
      <w:r w:rsidRPr="00F32DFA">
        <w:rPr>
          <w:rFonts w:cstheme="minorHAnsi"/>
        </w:rPr>
        <w:t xml:space="preserve">obstructive hypertrophic cardiomyopathy </w:t>
      </w:r>
      <w:r w:rsidR="00532E32" w:rsidRPr="00F32DFA">
        <w:rPr>
          <w:rFonts w:cstheme="minorHAnsi"/>
        </w:rPr>
        <w:t xml:space="preserve">(oHCM) </w:t>
      </w:r>
      <w:r w:rsidRPr="00F32DFA">
        <w:rPr>
          <w:rFonts w:cstheme="minorHAnsi"/>
        </w:rPr>
        <w:t>defined as any increase in LVOT/AV velocities corresponding to a peak gradient ≥30mmHg.</w:t>
      </w:r>
    </w:p>
    <w:p w14:paraId="60B98AA0" w14:textId="77777777" w:rsidR="00EC0279" w:rsidRDefault="00EC0279" w:rsidP="00EC0279">
      <w:pPr>
        <w:spacing w:after="0" w:line="360" w:lineRule="auto"/>
        <w:rPr>
          <w:b/>
          <w:bCs/>
          <w:smallCaps/>
          <w:noProof/>
          <w:color w:val="0070C0"/>
          <w:sz w:val="28"/>
          <w:szCs w:val="28"/>
        </w:rPr>
      </w:pPr>
    </w:p>
    <w:p w14:paraId="490801E1" w14:textId="77777777" w:rsidR="00EC0279" w:rsidRDefault="00EC0279" w:rsidP="00EC0279">
      <w:pPr>
        <w:rPr>
          <w:b/>
          <w:bCs/>
          <w:smallCaps/>
          <w:noProof/>
          <w:color w:val="0070C0"/>
          <w:sz w:val="28"/>
          <w:szCs w:val="28"/>
        </w:rPr>
      </w:pPr>
      <w:r>
        <w:rPr>
          <w:b/>
          <w:bCs/>
          <w:smallCaps/>
          <w:noProof/>
          <w:color w:val="0070C0"/>
          <w:sz w:val="28"/>
          <w:szCs w:val="28"/>
        </w:rPr>
        <w:br w:type="page"/>
      </w:r>
    </w:p>
    <w:p w14:paraId="533CE1D7" w14:textId="278BA14E" w:rsidR="00EC0279" w:rsidRPr="00A569C0" w:rsidRDefault="00031351" w:rsidP="00031351">
      <w:pPr>
        <w:spacing w:line="240" w:lineRule="auto"/>
        <w:rPr>
          <w:b/>
          <w:bCs/>
          <w:smallCaps/>
          <w:noProof/>
          <w:color w:val="7030A0"/>
          <w:sz w:val="28"/>
          <w:szCs w:val="28"/>
        </w:rPr>
      </w:pPr>
      <w:r w:rsidRPr="0047105D">
        <w:rPr>
          <w:rFonts w:cstheme="minorHAnsi"/>
          <w:b/>
          <w:bCs/>
          <w:noProof/>
          <w:sz w:val="28"/>
          <w:szCs w:val="28"/>
        </w:rPr>
        <w:lastRenderedPageBreak/>
        <w:t>Supplementary Table S</w:t>
      </w:r>
      <w:r w:rsidR="004B22CD">
        <w:rPr>
          <w:rFonts w:cstheme="minorHAnsi"/>
          <w:b/>
          <w:bCs/>
          <w:noProof/>
          <w:sz w:val="28"/>
          <w:szCs w:val="28"/>
        </w:rPr>
        <w:t>2</w:t>
      </w:r>
      <w:r w:rsidRPr="0047105D">
        <w:rPr>
          <w:rFonts w:cstheme="minorHAnsi"/>
          <w:b/>
          <w:bCs/>
          <w:noProof/>
          <w:sz w:val="28"/>
          <w:szCs w:val="28"/>
        </w:rPr>
        <w:t xml:space="preserve">. </w:t>
      </w:r>
      <w:r w:rsidRPr="00E35525">
        <w:rPr>
          <w:rFonts w:cstheme="minorHAnsi"/>
          <w:b/>
          <w:bCs/>
          <w:noProof/>
          <w:sz w:val="28"/>
          <w:szCs w:val="28"/>
        </w:rPr>
        <w:t xml:space="preserve">Characteristics of </w:t>
      </w:r>
      <w:r>
        <w:rPr>
          <w:rFonts w:cstheme="minorHAnsi"/>
          <w:b/>
          <w:bCs/>
          <w:noProof/>
          <w:sz w:val="28"/>
          <w:szCs w:val="28"/>
        </w:rPr>
        <w:t xml:space="preserve">5,242 women in </w:t>
      </w:r>
      <w:r w:rsidRPr="00E35525">
        <w:rPr>
          <w:rFonts w:cstheme="minorHAnsi"/>
          <w:b/>
          <w:bCs/>
          <w:noProof/>
          <w:sz w:val="28"/>
          <w:szCs w:val="28"/>
        </w:rPr>
        <w:t xml:space="preserve">the NEDA </w:t>
      </w:r>
      <w:r w:rsidR="007D5C93">
        <w:rPr>
          <w:rFonts w:cstheme="minorHAnsi"/>
          <w:b/>
          <w:bCs/>
          <w:noProof/>
          <w:sz w:val="28"/>
          <w:szCs w:val="28"/>
        </w:rPr>
        <w:t>c</w:t>
      </w:r>
      <w:r w:rsidRPr="00E35525">
        <w:rPr>
          <w:rFonts w:cstheme="minorHAnsi"/>
          <w:b/>
          <w:bCs/>
          <w:noProof/>
          <w:sz w:val="28"/>
          <w:szCs w:val="28"/>
        </w:rPr>
        <w:t>ohort</w:t>
      </w:r>
      <w:r>
        <w:rPr>
          <w:rFonts w:cstheme="minorHAnsi"/>
          <w:b/>
          <w:bCs/>
          <w:noProof/>
          <w:sz w:val="28"/>
          <w:szCs w:val="28"/>
        </w:rPr>
        <w:t xml:space="preserve"> identified with </w:t>
      </w:r>
      <w:r w:rsidR="005F0D81" w:rsidRPr="005F0D81">
        <w:rPr>
          <w:rFonts w:cstheme="minorHAnsi"/>
          <w:b/>
          <w:bCs/>
          <w:noProof/>
          <w:sz w:val="28"/>
          <w:szCs w:val="28"/>
        </w:rPr>
        <w:t xml:space="preserve">phenotypical </w:t>
      </w:r>
      <w:r>
        <w:rPr>
          <w:rFonts w:cstheme="minorHAnsi"/>
          <w:b/>
          <w:bCs/>
          <w:noProof/>
          <w:sz w:val="28"/>
          <w:szCs w:val="28"/>
        </w:rPr>
        <w:t>HCM</w:t>
      </w:r>
      <w:r w:rsidRPr="00A569C0">
        <w:rPr>
          <w:b/>
          <w:bCs/>
          <w:smallCaps/>
          <w:noProof/>
          <w:color w:val="7030A0"/>
          <w:sz w:val="28"/>
          <w:szCs w:val="28"/>
        </w:rPr>
        <w:t xml:space="preserve"> </w:t>
      </w:r>
    </w:p>
    <w:tbl>
      <w:tblPr>
        <w:tblW w:w="9863" w:type="dxa"/>
        <w:tblInd w:w="-436" w:type="dxa"/>
        <w:tblLook w:val="04A0" w:firstRow="1" w:lastRow="0" w:firstColumn="1" w:lastColumn="0" w:noHBand="0" w:noVBand="1"/>
      </w:tblPr>
      <w:tblGrid>
        <w:gridCol w:w="4943"/>
        <w:gridCol w:w="1596"/>
        <w:gridCol w:w="1596"/>
        <w:gridCol w:w="1728"/>
      </w:tblGrid>
      <w:tr w:rsidR="00EC0279" w:rsidRPr="0085077C" w14:paraId="54A91600" w14:textId="77777777" w:rsidTr="00CB0A16">
        <w:trPr>
          <w:trHeight w:val="281"/>
        </w:trPr>
        <w:tc>
          <w:tcPr>
            <w:tcW w:w="4943" w:type="dxa"/>
            <w:tcBorders>
              <w:top w:val="single" w:sz="8" w:space="0" w:color="auto"/>
              <w:left w:val="single" w:sz="8" w:space="0" w:color="auto"/>
              <w:bottom w:val="nil"/>
              <w:right w:val="single" w:sz="4" w:space="0" w:color="auto"/>
            </w:tcBorders>
            <w:shd w:val="clear" w:color="auto" w:fill="auto"/>
            <w:vAlign w:val="center"/>
            <w:hideMark/>
          </w:tcPr>
          <w:p w14:paraId="61B0CB6C"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smallCaps/>
                <w:lang w:eastAsia="en-AU"/>
              </w:rPr>
              <w:t>Women</w:t>
            </w:r>
          </w:p>
        </w:tc>
        <w:tc>
          <w:tcPr>
            <w:tcW w:w="1596" w:type="dxa"/>
            <w:tcBorders>
              <w:top w:val="single" w:sz="8" w:space="0" w:color="auto"/>
              <w:left w:val="single" w:sz="4" w:space="0" w:color="auto"/>
              <w:bottom w:val="nil"/>
              <w:right w:val="single" w:sz="4" w:space="0" w:color="auto"/>
            </w:tcBorders>
            <w:shd w:val="clear" w:color="auto" w:fill="auto"/>
            <w:vAlign w:val="center"/>
            <w:hideMark/>
          </w:tcPr>
          <w:p w14:paraId="5678D1AA" w14:textId="77777777" w:rsidR="00EC0279" w:rsidRPr="00031351" w:rsidRDefault="00EC0279"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ALL HCM</w:t>
            </w:r>
          </w:p>
        </w:tc>
        <w:tc>
          <w:tcPr>
            <w:tcW w:w="1596" w:type="dxa"/>
            <w:tcBorders>
              <w:top w:val="single" w:sz="8" w:space="0" w:color="auto"/>
              <w:left w:val="single" w:sz="4" w:space="0" w:color="auto"/>
              <w:bottom w:val="nil"/>
              <w:right w:val="single" w:sz="4" w:space="0" w:color="auto"/>
            </w:tcBorders>
            <w:shd w:val="clear" w:color="auto" w:fill="auto"/>
            <w:vAlign w:val="center"/>
            <w:hideMark/>
          </w:tcPr>
          <w:p w14:paraId="74104205" w14:textId="77777777" w:rsidR="00EC0279" w:rsidRPr="00031351" w:rsidRDefault="00EC0279"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ASH</w:t>
            </w:r>
          </w:p>
        </w:tc>
        <w:tc>
          <w:tcPr>
            <w:tcW w:w="1728" w:type="dxa"/>
            <w:tcBorders>
              <w:top w:val="single" w:sz="8" w:space="0" w:color="auto"/>
              <w:left w:val="single" w:sz="4" w:space="0" w:color="auto"/>
              <w:bottom w:val="nil"/>
              <w:right w:val="single" w:sz="8" w:space="0" w:color="auto"/>
            </w:tcBorders>
            <w:shd w:val="clear" w:color="auto" w:fill="auto"/>
            <w:vAlign w:val="center"/>
            <w:hideMark/>
          </w:tcPr>
          <w:p w14:paraId="2EC19CCC" w14:textId="3D53AE38" w:rsidR="00EC0279" w:rsidRPr="00031351" w:rsidRDefault="00024A5D"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oH</w:t>
            </w:r>
            <w:r w:rsidR="00EC0279" w:rsidRPr="00031351">
              <w:rPr>
                <w:rFonts w:eastAsia="Times New Roman" w:cstheme="minorHAnsi"/>
                <w:b/>
                <w:bCs/>
                <w:color w:val="000000"/>
                <w:lang w:eastAsia="en-GB"/>
              </w:rPr>
              <w:t>CM</w:t>
            </w:r>
          </w:p>
        </w:tc>
      </w:tr>
      <w:tr w:rsidR="00EC0279" w:rsidRPr="0085077C" w14:paraId="798B334A" w14:textId="77777777" w:rsidTr="00CB0A16">
        <w:trPr>
          <w:trHeight w:val="297"/>
        </w:trPr>
        <w:tc>
          <w:tcPr>
            <w:tcW w:w="4943" w:type="dxa"/>
            <w:tcBorders>
              <w:top w:val="nil"/>
              <w:left w:val="single" w:sz="8" w:space="0" w:color="auto"/>
              <w:bottom w:val="single" w:sz="8" w:space="0" w:color="auto"/>
              <w:right w:val="single" w:sz="4" w:space="0" w:color="auto"/>
            </w:tcBorders>
            <w:shd w:val="clear" w:color="auto" w:fill="auto"/>
            <w:vAlign w:val="center"/>
            <w:hideMark/>
          </w:tcPr>
          <w:p w14:paraId="75BDDA4F"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c>
          <w:tcPr>
            <w:tcW w:w="1596" w:type="dxa"/>
            <w:tcBorders>
              <w:top w:val="nil"/>
              <w:left w:val="single" w:sz="4" w:space="0" w:color="auto"/>
              <w:bottom w:val="single" w:sz="8" w:space="0" w:color="auto"/>
              <w:right w:val="single" w:sz="4" w:space="0" w:color="auto"/>
            </w:tcBorders>
            <w:shd w:val="clear" w:color="auto" w:fill="auto"/>
            <w:vAlign w:val="center"/>
            <w:hideMark/>
          </w:tcPr>
          <w:p w14:paraId="0F6D0083" w14:textId="77777777" w:rsidR="00EC0279" w:rsidRPr="00031351" w:rsidRDefault="00EC0279"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5,242 cases</w:t>
            </w:r>
          </w:p>
        </w:tc>
        <w:tc>
          <w:tcPr>
            <w:tcW w:w="1596" w:type="dxa"/>
            <w:tcBorders>
              <w:top w:val="nil"/>
              <w:left w:val="single" w:sz="4" w:space="0" w:color="auto"/>
              <w:bottom w:val="single" w:sz="8" w:space="0" w:color="auto"/>
              <w:right w:val="single" w:sz="4" w:space="0" w:color="auto"/>
            </w:tcBorders>
            <w:shd w:val="clear" w:color="auto" w:fill="auto"/>
            <w:vAlign w:val="center"/>
            <w:hideMark/>
          </w:tcPr>
          <w:p w14:paraId="63B96626" w14:textId="77777777" w:rsidR="00EC0279" w:rsidRPr="00031351" w:rsidRDefault="00EC0279"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2,079cases</w:t>
            </w:r>
          </w:p>
        </w:tc>
        <w:tc>
          <w:tcPr>
            <w:tcW w:w="1728" w:type="dxa"/>
            <w:tcBorders>
              <w:top w:val="nil"/>
              <w:left w:val="single" w:sz="4" w:space="0" w:color="auto"/>
              <w:bottom w:val="single" w:sz="8" w:space="0" w:color="auto"/>
              <w:right w:val="single" w:sz="8" w:space="0" w:color="auto"/>
            </w:tcBorders>
            <w:shd w:val="clear" w:color="auto" w:fill="auto"/>
            <w:vAlign w:val="center"/>
            <w:hideMark/>
          </w:tcPr>
          <w:p w14:paraId="5A90A15C" w14:textId="77777777" w:rsidR="00EC0279" w:rsidRPr="00031351" w:rsidRDefault="00EC0279" w:rsidP="00DE0218">
            <w:pPr>
              <w:spacing w:after="0" w:line="240" w:lineRule="auto"/>
              <w:jc w:val="center"/>
              <w:rPr>
                <w:rFonts w:eastAsia="Times New Roman" w:cstheme="minorHAnsi"/>
                <w:b/>
                <w:bCs/>
                <w:color w:val="000000"/>
                <w:lang w:eastAsia="en-GB"/>
              </w:rPr>
            </w:pPr>
            <w:r w:rsidRPr="00031351">
              <w:rPr>
                <w:rFonts w:eastAsia="Times New Roman" w:cstheme="minorHAnsi"/>
                <w:b/>
                <w:bCs/>
                <w:color w:val="000000"/>
                <w:lang w:eastAsia="en-GB"/>
              </w:rPr>
              <w:t>844 cases</w:t>
            </w:r>
          </w:p>
        </w:tc>
      </w:tr>
      <w:tr w:rsidR="00EC0279" w:rsidRPr="0085077C" w14:paraId="4320D329" w14:textId="77777777" w:rsidTr="00CB0A16">
        <w:trPr>
          <w:trHeight w:val="297"/>
        </w:trPr>
        <w:tc>
          <w:tcPr>
            <w:tcW w:w="4943" w:type="dxa"/>
            <w:tcBorders>
              <w:top w:val="nil"/>
              <w:left w:val="single" w:sz="8" w:space="0" w:color="auto"/>
              <w:bottom w:val="single" w:sz="8" w:space="0" w:color="auto"/>
              <w:right w:val="nil"/>
            </w:tcBorders>
            <w:shd w:val="clear" w:color="auto" w:fill="auto"/>
            <w:vAlign w:val="center"/>
            <w:hideMark/>
          </w:tcPr>
          <w:p w14:paraId="6C3B9B29"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Demographic</w:t>
            </w:r>
          </w:p>
        </w:tc>
        <w:tc>
          <w:tcPr>
            <w:tcW w:w="1596" w:type="dxa"/>
            <w:tcBorders>
              <w:top w:val="nil"/>
              <w:left w:val="nil"/>
              <w:bottom w:val="single" w:sz="8" w:space="0" w:color="auto"/>
              <w:right w:val="nil"/>
            </w:tcBorders>
            <w:shd w:val="clear" w:color="auto" w:fill="auto"/>
            <w:vAlign w:val="center"/>
            <w:hideMark/>
          </w:tcPr>
          <w:p w14:paraId="45BC68B5"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c>
          <w:tcPr>
            <w:tcW w:w="1596" w:type="dxa"/>
            <w:tcBorders>
              <w:top w:val="nil"/>
              <w:left w:val="nil"/>
              <w:bottom w:val="single" w:sz="8" w:space="0" w:color="auto"/>
              <w:right w:val="nil"/>
            </w:tcBorders>
            <w:shd w:val="clear" w:color="auto" w:fill="auto"/>
            <w:vAlign w:val="center"/>
            <w:hideMark/>
          </w:tcPr>
          <w:p w14:paraId="6809C87C"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c>
          <w:tcPr>
            <w:tcW w:w="1728" w:type="dxa"/>
            <w:tcBorders>
              <w:top w:val="nil"/>
              <w:left w:val="nil"/>
              <w:bottom w:val="single" w:sz="8" w:space="0" w:color="auto"/>
              <w:right w:val="single" w:sz="8" w:space="0" w:color="auto"/>
            </w:tcBorders>
            <w:shd w:val="clear" w:color="auto" w:fill="auto"/>
            <w:vAlign w:val="center"/>
            <w:hideMark/>
          </w:tcPr>
          <w:p w14:paraId="5A5D29FE"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r>
      <w:tr w:rsidR="00EC0279" w:rsidRPr="0085077C" w14:paraId="031D1BCE"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5D519639"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Age at last echo (years)</w:t>
            </w:r>
          </w:p>
        </w:tc>
        <w:tc>
          <w:tcPr>
            <w:tcW w:w="1596" w:type="dxa"/>
            <w:tcBorders>
              <w:top w:val="nil"/>
              <w:left w:val="nil"/>
              <w:bottom w:val="single" w:sz="4" w:space="0" w:color="auto"/>
              <w:right w:val="single" w:sz="4" w:space="0" w:color="auto"/>
            </w:tcBorders>
            <w:shd w:val="clear" w:color="auto" w:fill="auto"/>
            <w:noWrap/>
            <w:vAlign w:val="center"/>
            <w:hideMark/>
          </w:tcPr>
          <w:p w14:paraId="1DFCE9BE"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74.05 ± 14.31</w:t>
            </w:r>
          </w:p>
        </w:tc>
        <w:tc>
          <w:tcPr>
            <w:tcW w:w="1596" w:type="dxa"/>
            <w:tcBorders>
              <w:top w:val="nil"/>
              <w:left w:val="nil"/>
              <w:bottom w:val="single" w:sz="4" w:space="0" w:color="auto"/>
              <w:right w:val="single" w:sz="4" w:space="0" w:color="auto"/>
            </w:tcBorders>
            <w:shd w:val="clear" w:color="auto" w:fill="auto"/>
            <w:vAlign w:val="center"/>
            <w:hideMark/>
          </w:tcPr>
          <w:p w14:paraId="0A9FDA1F"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70.96 ± 15.26</w:t>
            </w:r>
          </w:p>
        </w:tc>
        <w:tc>
          <w:tcPr>
            <w:tcW w:w="1728" w:type="dxa"/>
            <w:tcBorders>
              <w:top w:val="nil"/>
              <w:left w:val="nil"/>
              <w:bottom w:val="single" w:sz="4" w:space="0" w:color="auto"/>
              <w:right w:val="single" w:sz="8" w:space="0" w:color="auto"/>
            </w:tcBorders>
            <w:shd w:val="clear" w:color="auto" w:fill="auto"/>
            <w:vAlign w:val="center"/>
            <w:hideMark/>
          </w:tcPr>
          <w:p w14:paraId="317F7E4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79.62 ± 11.55</w:t>
            </w:r>
          </w:p>
        </w:tc>
      </w:tr>
      <w:tr w:rsidR="00EC0279" w:rsidRPr="0085077C" w14:paraId="412E8792" w14:textId="77777777" w:rsidTr="00CB0A16">
        <w:trPr>
          <w:trHeight w:val="297"/>
        </w:trPr>
        <w:tc>
          <w:tcPr>
            <w:tcW w:w="4943" w:type="dxa"/>
            <w:tcBorders>
              <w:top w:val="nil"/>
              <w:left w:val="single" w:sz="8" w:space="0" w:color="auto"/>
              <w:bottom w:val="single" w:sz="8" w:space="0" w:color="auto"/>
              <w:right w:val="single" w:sz="4" w:space="0" w:color="auto"/>
            </w:tcBorders>
            <w:shd w:val="clear" w:color="auto" w:fill="auto"/>
            <w:vAlign w:val="center"/>
            <w:hideMark/>
          </w:tcPr>
          <w:p w14:paraId="0EC05A6C"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BMI (kg/m</w:t>
            </w:r>
            <w:r w:rsidRPr="00031351">
              <w:rPr>
                <w:rFonts w:eastAsia="Times New Roman" w:cstheme="minorHAnsi"/>
                <w:color w:val="000000"/>
                <w:sz w:val="20"/>
                <w:szCs w:val="20"/>
                <w:vertAlign w:val="superscript"/>
                <w:lang w:eastAsia="en-GB"/>
              </w:rPr>
              <w:t>2</w:t>
            </w:r>
            <w:r w:rsidRPr="00031351">
              <w:rPr>
                <w:rFonts w:eastAsia="Times New Roman" w:cstheme="minorHAnsi"/>
                <w:color w:val="000000"/>
                <w:lang w:eastAsia="en-GB"/>
              </w:rPr>
              <w:t>)</w:t>
            </w:r>
          </w:p>
        </w:tc>
        <w:tc>
          <w:tcPr>
            <w:tcW w:w="1596" w:type="dxa"/>
            <w:tcBorders>
              <w:top w:val="nil"/>
              <w:left w:val="nil"/>
              <w:bottom w:val="single" w:sz="8" w:space="0" w:color="auto"/>
              <w:right w:val="single" w:sz="4" w:space="0" w:color="auto"/>
            </w:tcBorders>
            <w:shd w:val="clear" w:color="auto" w:fill="auto"/>
            <w:noWrap/>
            <w:vAlign w:val="center"/>
            <w:hideMark/>
          </w:tcPr>
          <w:p w14:paraId="045997A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29.69 ± 8.18</w:t>
            </w:r>
          </w:p>
        </w:tc>
        <w:tc>
          <w:tcPr>
            <w:tcW w:w="1596" w:type="dxa"/>
            <w:tcBorders>
              <w:top w:val="nil"/>
              <w:left w:val="nil"/>
              <w:bottom w:val="single" w:sz="8" w:space="0" w:color="auto"/>
              <w:right w:val="single" w:sz="4" w:space="0" w:color="auto"/>
            </w:tcBorders>
            <w:shd w:val="clear" w:color="auto" w:fill="auto"/>
            <w:vAlign w:val="center"/>
            <w:hideMark/>
          </w:tcPr>
          <w:p w14:paraId="7C1B0DBF"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28.42 ± 7.03</w:t>
            </w:r>
          </w:p>
        </w:tc>
        <w:tc>
          <w:tcPr>
            <w:tcW w:w="1728" w:type="dxa"/>
            <w:tcBorders>
              <w:top w:val="nil"/>
              <w:left w:val="nil"/>
              <w:bottom w:val="single" w:sz="8" w:space="0" w:color="auto"/>
              <w:right w:val="single" w:sz="8" w:space="0" w:color="auto"/>
            </w:tcBorders>
            <w:shd w:val="clear" w:color="auto" w:fill="auto"/>
            <w:vAlign w:val="center"/>
            <w:hideMark/>
          </w:tcPr>
          <w:p w14:paraId="34EB47CE"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28.44 ± 7.15</w:t>
            </w:r>
          </w:p>
        </w:tc>
      </w:tr>
      <w:tr w:rsidR="00EC0279" w:rsidRPr="0085077C" w14:paraId="7F7A7F4C" w14:textId="77777777" w:rsidTr="00CB0A16">
        <w:trPr>
          <w:trHeight w:val="297"/>
        </w:trPr>
        <w:tc>
          <w:tcPr>
            <w:tcW w:w="4943" w:type="dxa"/>
            <w:tcBorders>
              <w:top w:val="nil"/>
              <w:left w:val="single" w:sz="8" w:space="0" w:color="auto"/>
              <w:bottom w:val="single" w:sz="8" w:space="0" w:color="auto"/>
              <w:right w:val="single" w:sz="4" w:space="0" w:color="auto"/>
            </w:tcBorders>
            <w:shd w:val="clear" w:color="auto" w:fill="auto"/>
            <w:vAlign w:val="center"/>
            <w:hideMark/>
          </w:tcPr>
          <w:p w14:paraId="3113CECC"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LV Dimensions/Function</w:t>
            </w:r>
            <w:r w:rsidRPr="00031351">
              <w:rPr>
                <w:rFonts w:eastAsia="Times New Roman" w:cstheme="minorHAnsi"/>
                <w:color w:val="000000"/>
                <w:lang w:eastAsia="en-GB"/>
              </w:rPr>
              <w:t> </w:t>
            </w:r>
          </w:p>
        </w:tc>
        <w:tc>
          <w:tcPr>
            <w:tcW w:w="1596" w:type="dxa"/>
            <w:tcBorders>
              <w:top w:val="nil"/>
              <w:left w:val="nil"/>
              <w:bottom w:val="single" w:sz="8" w:space="0" w:color="auto"/>
              <w:right w:val="single" w:sz="4" w:space="0" w:color="auto"/>
            </w:tcBorders>
            <w:shd w:val="clear" w:color="auto" w:fill="auto"/>
            <w:vAlign w:val="center"/>
            <w:hideMark/>
          </w:tcPr>
          <w:p w14:paraId="5FF12B05"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c>
          <w:tcPr>
            <w:tcW w:w="1596" w:type="dxa"/>
            <w:tcBorders>
              <w:top w:val="nil"/>
              <w:left w:val="nil"/>
              <w:bottom w:val="single" w:sz="8" w:space="0" w:color="auto"/>
              <w:right w:val="single" w:sz="4" w:space="0" w:color="auto"/>
            </w:tcBorders>
            <w:shd w:val="clear" w:color="auto" w:fill="auto"/>
            <w:vAlign w:val="center"/>
            <w:hideMark/>
          </w:tcPr>
          <w:p w14:paraId="420C4086"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c>
          <w:tcPr>
            <w:tcW w:w="1728" w:type="dxa"/>
            <w:tcBorders>
              <w:top w:val="nil"/>
              <w:left w:val="nil"/>
              <w:bottom w:val="single" w:sz="8" w:space="0" w:color="auto"/>
              <w:right w:val="single" w:sz="8" w:space="0" w:color="auto"/>
            </w:tcBorders>
            <w:shd w:val="clear" w:color="auto" w:fill="auto"/>
            <w:vAlign w:val="center"/>
            <w:hideMark/>
          </w:tcPr>
          <w:p w14:paraId="6B14291F" w14:textId="77777777" w:rsidR="00EC0279" w:rsidRPr="00031351" w:rsidRDefault="00EC0279" w:rsidP="00DE0218">
            <w:pPr>
              <w:spacing w:after="0" w:line="240" w:lineRule="auto"/>
              <w:rPr>
                <w:rFonts w:eastAsia="Times New Roman" w:cstheme="minorHAnsi"/>
                <w:b/>
                <w:bCs/>
                <w:color w:val="000000"/>
                <w:lang w:eastAsia="en-GB"/>
              </w:rPr>
            </w:pPr>
            <w:r w:rsidRPr="00031351">
              <w:rPr>
                <w:rFonts w:eastAsia="Times New Roman" w:cstheme="minorHAnsi"/>
                <w:b/>
                <w:bCs/>
                <w:color w:val="000000"/>
                <w:lang w:eastAsia="en-GB"/>
              </w:rPr>
              <w:t> </w:t>
            </w:r>
          </w:p>
        </w:tc>
      </w:tr>
      <w:tr w:rsidR="00EC0279" w:rsidRPr="0085077C" w14:paraId="2068970E" w14:textId="77777777" w:rsidTr="00CB0A16">
        <w:trPr>
          <w:trHeight w:val="297"/>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19727C53"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IV Septal thickness</w:t>
            </w:r>
          </w:p>
        </w:tc>
        <w:tc>
          <w:tcPr>
            <w:tcW w:w="1596" w:type="dxa"/>
            <w:tcBorders>
              <w:top w:val="nil"/>
              <w:left w:val="nil"/>
              <w:bottom w:val="single" w:sz="4" w:space="0" w:color="auto"/>
              <w:right w:val="single" w:sz="4" w:space="0" w:color="auto"/>
            </w:tcBorders>
            <w:shd w:val="clear" w:color="auto" w:fill="auto"/>
            <w:noWrap/>
            <w:vAlign w:val="center"/>
            <w:hideMark/>
          </w:tcPr>
          <w:p w14:paraId="58183D6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1.63 ± 0.24</w:t>
            </w:r>
          </w:p>
        </w:tc>
        <w:tc>
          <w:tcPr>
            <w:tcW w:w="1596" w:type="dxa"/>
            <w:tcBorders>
              <w:top w:val="nil"/>
              <w:left w:val="nil"/>
              <w:bottom w:val="single" w:sz="4" w:space="0" w:color="auto"/>
              <w:right w:val="single" w:sz="4" w:space="0" w:color="auto"/>
            </w:tcBorders>
            <w:shd w:val="clear" w:color="auto" w:fill="auto"/>
            <w:vAlign w:val="center"/>
            <w:hideMark/>
          </w:tcPr>
          <w:p w14:paraId="34F8ED5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1.75 ± 0.27</w:t>
            </w:r>
          </w:p>
        </w:tc>
        <w:tc>
          <w:tcPr>
            <w:tcW w:w="1728" w:type="dxa"/>
            <w:tcBorders>
              <w:top w:val="nil"/>
              <w:left w:val="nil"/>
              <w:bottom w:val="single" w:sz="4" w:space="0" w:color="auto"/>
              <w:right w:val="single" w:sz="8" w:space="0" w:color="auto"/>
            </w:tcBorders>
            <w:shd w:val="clear" w:color="auto" w:fill="auto"/>
            <w:vAlign w:val="center"/>
            <w:hideMark/>
          </w:tcPr>
          <w:p w14:paraId="4CB6EB2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1.62 ± 0.20</w:t>
            </w:r>
          </w:p>
        </w:tc>
      </w:tr>
      <w:tr w:rsidR="00EC0279" w:rsidRPr="0085077C" w14:paraId="4E319B6C"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6777C408" w14:textId="10F29B0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 xml:space="preserve">IV Septal thickness </w:t>
            </w:r>
            <w:r w:rsidR="007D5C93" w:rsidRPr="004B22CD">
              <w:rPr>
                <w:rFonts w:cstheme="minorHAnsi"/>
                <w:sz w:val="24"/>
                <w:szCs w:val="24"/>
              </w:rPr>
              <w:t>≥</w:t>
            </w:r>
            <w:r w:rsidRPr="00031351">
              <w:rPr>
                <w:rFonts w:eastAsia="Times New Roman" w:cstheme="minorHAnsi"/>
                <w:color w:val="000000"/>
                <w:lang w:eastAsia="en-GB"/>
              </w:rPr>
              <w:t>15mm %</w:t>
            </w:r>
          </w:p>
        </w:tc>
        <w:tc>
          <w:tcPr>
            <w:tcW w:w="1596" w:type="dxa"/>
            <w:tcBorders>
              <w:top w:val="nil"/>
              <w:left w:val="nil"/>
              <w:bottom w:val="single" w:sz="4" w:space="0" w:color="auto"/>
              <w:right w:val="single" w:sz="4" w:space="0" w:color="auto"/>
            </w:tcBorders>
            <w:shd w:val="clear" w:color="auto" w:fill="auto"/>
            <w:noWrap/>
            <w:vAlign w:val="center"/>
            <w:hideMark/>
          </w:tcPr>
          <w:p w14:paraId="78A85FD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91.42%</w:t>
            </w:r>
          </w:p>
        </w:tc>
        <w:tc>
          <w:tcPr>
            <w:tcW w:w="1596" w:type="dxa"/>
            <w:tcBorders>
              <w:top w:val="nil"/>
              <w:left w:val="nil"/>
              <w:bottom w:val="single" w:sz="4" w:space="0" w:color="auto"/>
              <w:right w:val="single" w:sz="4" w:space="0" w:color="auto"/>
            </w:tcBorders>
            <w:shd w:val="clear" w:color="auto" w:fill="auto"/>
            <w:vAlign w:val="center"/>
            <w:hideMark/>
          </w:tcPr>
          <w:p w14:paraId="6E719B6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100.00%</w:t>
            </w:r>
          </w:p>
        </w:tc>
        <w:tc>
          <w:tcPr>
            <w:tcW w:w="1728" w:type="dxa"/>
            <w:tcBorders>
              <w:top w:val="nil"/>
              <w:left w:val="nil"/>
              <w:bottom w:val="single" w:sz="4" w:space="0" w:color="auto"/>
              <w:right w:val="single" w:sz="8" w:space="0" w:color="auto"/>
            </w:tcBorders>
            <w:shd w:val="clear" w:color="auto" w:fill="auto"/>
            <w:vAlign w:val="center"/>
            <w:hideMark/>
          </w:tcPr>
          <w:p w14:paraId="17630E8B"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92.06%</w:t>
            </w:r>
          </w:p>
        </w:tc>
      </w:tr>
      <w:tr w:rsidR="00EC0279" w:rsidRPr="0085077C" w14:paraId="2BFCED73"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60246F86"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 Posterior Wall Dimensions</w:t>
            </w:r>
          </w:p>
        </w:tc>
        <w:tc>
          <w:tcPr>
            <w:tcW w:w="1596" w:type="dxa"/>
            <w:tcBorders>
              <w:top w:val="nil"/>
              <w:left w:val="nil"/>
              <w:bottom w:val="single" w:sz="4" w:space="0" w:color="auto"/>
              <w:right w:val="single" w:sz="4" w:space="0" w:color="auto"/>
            </w:tcBorders>
            <w:shd w:val="clear" w:color="auto" w:fill="auto"/>
            <w:noWrap/>
            <w:vAlign w:val="center"/>
            <w:hideMark/>
          </w:tcPr>
          <w:p w14:paraId="70D75A18"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1.33 ± 0.30</w:t>
            </w:r>
          </w:p>
        </w:tc>
        <w:tc>
          <w:tcPr>
            <w:tcW w:w="1596" w:type="dxa"/>
            <w:tcBorders>
              <w:top w:val="nil"/>
              <w:left w:val="nil"/>
              <w:bottom w:val="single" w:sz="4" w:space="0" w:color="auto"/>
              <w:right w:val="single" w:sz="4" w:space="0" w:color="auto"/>
            </w:tcBorders>
            <w:shd w:val="clear" w:color="auto" w:fill="auto"/>
            <w:vAlign w:val="center"/>
            <w:hideMark/>
          </w:tcPr>
          <w:p w14:paraId="10A8329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1.05 ± 0.19</w:t>
            </w:r>
          </w:p>
        </w:tc>
        <w:tc>
          <w:tcPr>
            <w:tcW w:w="1728" w:type="dxa"/>
            <w:tcBorders>
              <w:top w:val="nil"/>
              <w:left w:val="nil"/>
              <w:bottom w:val="single" w:sz="4" w:space="0" w:color="auto"/>
              <w:right w:val="single" w:sz="8" w:space="0" w:color="auto"/>
            </w:tcBorders>
            <w:shd w:val="clear" w:color="auto" w:fill="auto"/>
            <w:vAlign w:val="center"/>
            <w:hideMark/>
          </w:tcPr>
          <w:p w14:paraId="1FA8DB97"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1.41 ± 0.25</w:t>
            </w:r>
          </w:p>
        </w:tc>
      </w:tr>
      <w:tr w:rsidR="00EC0279" w:rsidRPr="0085077C" w14:paraId="1422FEF0"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212E1418" w14:textId="1BC3FF7B"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 xml:space="preserve">LV Posterior Wall Dimensions </w:t>
            </w:r>
            <w:r w:rsidR="007D5C93" w:rsidRPr="004B22CD">
              <w:rPr>
                <w:rFonts w:cstheme="minorHAnsi"/>
                <w:sz w:val="24"/>
                <w:szCs w:val="24"/>
              </w:rPr>
              <w:t>≥</w:t>
            </w:r>
            <w:r w:rsidRPr="00031351">
              <w:rPr>
                <w:rFonts w:eastAsia="Times New Roman" w:cstheme="minorHAnsi"/>
                <w:color w:val="000000"/>
                <w:lang w:eastAsia="en-GB"/>
              </w:rPr>
              <w:t>15mm %</w:t>
            </w:r>
          </w:p>
        </w:tc>
        <w:tc>
          <w:tcPr>
            <w:tcW w:w="1596" w:type="dxa"/>
            <w:tcBorders>
              <w:top w:val="nil"/>
              <w:left w:val="nil"/>
              <w:bottom w:val="single" w:sz="4" w:space="0" w:color="auto"/>
              <w:right w:val="single" w:sz="4" w:space="0" w:color="auto"/>
            </w:tcBorders>
            <w:shd w:val="clear" w:color="auto" w:fill="auto"/>
            <w:noWrap/>
            <w:vAlign w:val="center"/>
            <w:hideMark/>
          </w:tcPr>
          <w:p w14:paraId="7FC5A2D9"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39.24%</w:t>
            </w:r>
          </w:p>
        </w:tc>
        <w:tc>
          <w:tcPr>
            <w:tcW w:w="1596" w:type="dxa"/>
            <w:tcBorders>
              <w:top w:val="nil"/>
              <w:left w:val="nil"/>
              <w:bottom w:val="single" w:sz="4" w:space="0" w:color="auto"/>
              <w:right w:val="single" w:sz="4" w:space="0" w:color="auto"/>
            </w:tcBorders>
            <w:shd w:val="clear" w:color="auto" w:fill="auto"/>
            <w:vAlign w:val="center"/>
            <w:hideMark/>
          </w:tcPr>
          <w:p w14:paraId="5C055FA2"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1.49%</w:t>
            </w:r>
          </w:p>
        </w:tc>
        <w:tc>
          <w:tcPr>
            <w:tcW w:w="1728" w:type="dxa"/>
            <w:tcBorders>
              <w:top w:val="nil"/>
              <w:left w:val="nil"/>
              <w:bottom w:val="single" w:sz="4" w:space="0" w:color="auto"/>
              <w:right w:val="single" w:sz="8" w:space="0" w:color="auto"/>
            </w:tcBorders>
            <w:shd w:val="clear" w:color="auto" w:fill="auto"/>
            <w:vAlign w:val="center"/>
            <w:hideMark/>
          </w:tcPr>
          <w:p w14:paraId="5532ACFB"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52.49%</w:t>
            </w:r>
          </w:p>
        </w:tc>
      </w:tr>
      <w:tr w:rsidR="00EC0279" w:rsidRPr="0085077C" w14:paraId="57C6E7AF"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1D9B0A4B"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 diastolic diameter</w:t>
            </w:r>
          </w:p>
        </w:tc>
        <w:tc>
          <w:tcPr>
            <w:tcW w:w="1596" w:type="dxa"/>
            <w:tcBorders>
              <w:top w:val="nil"/>
              <w:left w:val="nil"/>
              <w:bottom w:val="single" w:sz="4" w:space="0" w:color="auto"/>
              <w:right w:val="single" w:sz="4" w:space="0" w:color="auto"/>
            </w:tcBorders>
            <w:shd w:val="clear" w:color="auto" w:fill="auto"/>
            <w:noWrap/>
            <w:vAlign w:val="center"/>
            <w:hideMark/>
          </w:tcPr>
          <w:p w14:paraId="5FE68F3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4.09 ± 0.76</w:t>
            </w:r>
          </w:p>
        </w:tc>
        <w:tc>
          <w:tcPr>
            <w:tcW w:w="1596" w:type="dxa"/>
            <w:tcBorders>
              <w:top w:val="nil"/>
              <w:left w:val="nil"/>
              <w:bottom w:val="single" w:sz="4" w:space="0" w:color="auto"/>
              <w:right w:val="single" w:sz="4" w:space="0" w:color="auto"/>
            </w:tcBorders>
            <w:shd w:val="clear" w:color="auto" w:fill="auto"/>
            <w:vAlign w:val="center"/>
            <w:hideMark/>
          </w:tcPr>
          <w:p w14:paraId="2B107AF5"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3.95 ± 0.72</w:t>
            </w:r>
          </w:p>
        </w:tc>
        <w:tc>
          <w:tcPr>
            <w:tcW w:w="1728" w:type="dxa"/>
            <w:tcBorders>
              <w:top w:val="nil"/>
              <w:left w:val="nil"/>
              <w:bottom w:val="single" w:sz="4" w:space="0" w:color="auto"/>
              <w:right w:val="single" w:sz="8" w:space="0" w:color="auto"/>
            </w:tcBorders>
            <w:shd w:val="clear" w:color="auto" w:fill="auto"/>
            <w:vAlign w:val="center"/>
            <w:hideMark/>
          </w:tcPr>
          <w:p w14:paraId="3249E445"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4.22 ± 0.74</w:t>
            </w:r>
          </w:p>
        </w:tc>
      </w:tr>
      <w:tr w:rsidR="00EC0279" w:rsidRPr="0085077C" w14:paraId="3A1BF25A"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04B2FC65"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 diastolic diameter &lt;5.5cm %</w:t>
            </w:r>
          </w:p>
        </w:tc>
        <w:tc>
          <w:tcPr>
            <w:tcW w:w="1596" w:type="dxa"/>
            <w:tcBorders>
              <w:top w:val="nil"/>
              <w:left w:val="nil"/>
              <w:bottom w:val="single" w:sz="4" w:space="0" w:color="auto"/>
              <w:right w:val="single" w:sz="4" w:space="0" w:color="auto"/>
            </w:tcBorders>
            <w:shd w:val="clear" w:color="auto" w:fill="auto"/>
            <w:noWrap/>
            <w:vAlign w:val="center"/>
            <w:hideMark/>
          </w:tcPr>
          <w:p w14:paraId="61895DAB"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95.86%</w:t>
            </w:r>
          </w:p>
        </w:tc>
        <w:tc>
          <w:tcPr>
            <w:tcW w:w="1596" w:type="dxa"/>
            <w:tcBorders>
              <w:top w:val="nil"/>
              <w:left w:val="nil"/>
              <w:bottom w:val="single" w:sz="4" w:space="0" w:color="auto"/>
              <w:right w:val="single" w:sz="4" w:space="0" w:color="auto"/>
            </w:tcBorders>
            <w:shd w:val="clear" w:color="auto" w:fill="auto"/>
            <w:vAlign w:val="center"/>
            <w:hideMark/>
          </w:tcPr>
          <w:p w14:paraId="6DDB650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97.45%</w:t>
            </w:r>
          </w:p>
        </w:tc>
        <w:tc>
          <w:tcPr>
            <w:tcW w:w="1728" w:type="dxa"/>
            <w:tcBorders>
              <w:top w:val="nil"/>
              <w:left w:val="nil"/>
              <w:bottom w:val="single" w:sz="4" w:space="0" w:color="auto"/>
              <w:right w:val="single" w:sz="8" w:space="0" w:color="auto"/>
            </w:tcBorders>
            <w:shd w:val="clear" w:color="auto" w:fill="auto"/>
            <w:vAlign w:val="center"/>
            <w:hideMark/>
          </w:tcPr>
          <w:p w14:paraId="14C08E3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94.08%</w:t>
            </w:r>
          </w:p>
        </w:tc>
      </w:tr>
      <w:tr w:rsidR="00EC0279" w:rsidRPr="0085077C" w14:paraId="18D93082"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5D2D2688"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Septal to Posterior Wall Ratio</w:t>
            </w:r>
          </w:p>
        </w:tc>
        <w:tc>
          <w:tcPr>
            <w:tcW w:w="1596" w:type="dxa"/>
            <w:tcBorders>
              <w:top w:val="nil"/>
              <w:left w:val="nil"/>
              <w:bottom w:val="single" w:sz="4" w:space="0" w:color="auto"/>
              <w:right w:val="single" w:sz="4" w:space="0" w:color="auto"/>
            </w:tcBorders>
            <w:shd w:val="clear" w:color="auto" w:fill="auto"/>
            <w:noWrap/>
            <w:vAlign w:val="center"/>
            <w:hideMark/>
          </w:tcPr>
          <w:p w14:paraId="282C2652"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1.30 ± 0.43</w:t>
            </w:r>
          </w:p>
        </w:tc>
        <w:tc>
          <w:tcPr>
            <w:tcW w:w="1596" w:type="dxa"/>
            <w:tcBorders>
              <w:top w:val="nil"/>
              <w:left w:val="nil"/>
              <w:bottom w:val="single" w:sz="4" w:space="0" w:color="auto"/>
              <w:right w:val="single" w:sz="4" w:space="0" w:color="auto"/>
            </w:tcBorders>
            <w:shd w:val="clear" w:color="auto" w:fill="auto"/>
            <w:vAlign w:val="center"/>
            <w:hideMark/>
          </w:tcPr>
          <w:p w14:paraId="40C6D561"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1.71 ± 0.41</w:t>
            </w:r>
          </w:p>
        </w:tc>
        <w:tc>
          <w:tcPr>
            <w:tcW w:w="1728" w:type="dxa"/>
            <w:tcBorders>
              <w:top w:val="nil"/>
              <w:left w:val="nil"/>
              <w:bottom w:val="single" w:sz="4" w:space="0" w:color="auto"/>
              <w:right w:val="single" w:sz="8" w:space="0" w:color="auto"/>
            </w:tcBorders>
            <w:shd w:val="clear" w:color="auto" w:fill="auto"/>
            <w:vAlign w:val="center"/>
            <w:hideMark/>
          </w:tcPr>
          <w:p w14:paraId="26F4CFEB"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1.20 ± 0.32</w:t>
            </w:r>
          </w:p>
        </w:tc>
      </w:tr>
      <w:tr w:rsidR="00EC0279" w:rsidRPr="0085077C" w14:paraId="1E3D069B"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5F269F4D"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Septal to Posterior Wall Ratio &gt;1.3 %</w:t>
            </w:r>
          </w:p>
        </w:tc>
        <w:tc>
          <w:tcPr>
            <w:tcW w:w="1596" w:type="dxa"/>
            <w:tcBorders>
              <w:top w:val="nil"/>
              <w:left w:val="nil"/>
              <w:bottom w:val="single" w:sz="4" w:space="0" w:color="auto"/>
              <w:right w:val="single" w:sz="4" w:space="0" w:color="auto"/>
            </w:tcBorders>
            <w:shd w:val="clear" w:color="auto" w:fill="auto"/>
            <w:noWrap/>
            <w:vAlign w:val="center"/>
            <w:hideMark/>
          </w:tcPr>
          <w:p w14:paraId="67BA3007"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39.66%</w:t>
            </w:r>
          </w:p>
        </w:tc>
        <w:tc>
          <w:tcPr>
            <w:tcW w:w="1596" w:type="dxa"/>
            <w:tcBorders>
              <w:top w:val="nil"/>
              <w:left w:val="nil"/>
              <w:bottom w:val="single" w:sz="4" w:space="0" w:color="auto"/>
              <w:right w:val="single" w:sz="4" w:space="0" w:color="auto"/>
            </w:tcBorders>
            <w:shd w:val="clear" w:color="auto" w:fill="auto"/>
            <w:vAlign w:val="center"/>
            <w:hideMark/>
          </w:tcPr>
          <w:p w14:paraId="6CD15B5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100.00%</w:t>
            </w:r>
          </w:p>
        </w:tc>
        <w:tc>
          <w:tcPr>
            <w:tcW w:w="1728" w:type="dxa"/>
            <w:tcBorders>
              <w:top w:val="nil"/>
              <w:left w:val="nil"/>
              <w:bottom w:val="single" w:sz="4" w:space="0" w:color="auto"/>
              <w:right w:val="single" w:sz="8" w:space="0" w:color="auto"/>
            </w:tcBorders>
            <w:shd w:val="clear" w:color="auto" w:fill="auto"/>
            <w:vAlign w:val="center"/>
            <w:hideMark/>
          </w:tcPr>
          <w:p w14:paraId="36A976B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26.90%</w:t>
            </w:r>
          </w:p>
        </w:tc>
      </w:tr>
      <w:tr w:rsidR="00024A5D" w:rsidRPr="0085077C" w14:paraId="1DCF165F"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263328E6" w14:textId="523274EA" w:rsidR="00024A5D" w:rsidRPr="00031351" w:rsidRDefault="00024A5D" w:rsidP="00024A5D">
            <w:pPr>
              <w:spacing w:after="0" w:line="240" w:lineRule="auto"/>
              <w:rPr>
                <w:rFonts w:eastAsia="Times New Roman" w:cstheme="minorHAnsi"/>
                <w:color w:val="000000"/>
                <w:highlight w:val="yellow"/>
                <w:lang w:eastAsia="en-GB"/>
              </w:rPr>
            </w:pPr>
            <w:r w:rsidRPr="00031351">
              <w:rPr>
                <w:rFonts w:cstheme="minorHAnsi"/>
                <w:color w:val="000000"/>
              </w:rPr>
              <w:t>LVOT/AV Peak Gradient*</w:t>
            </w:r>
          </w:p>
        </w:tc>
        <w:tc>
          <w:tcPr>
            <w:tcW w:w="1596" w:type="dxa"/>
            <w:tcBorders>
              <w:top w:val="nil"/>
              <w:left w:val="nil"/>
              <w:bottom w:val="single" w:sz="4" w:space="0" w:color="auto"/>
              <w:right w:val="single" w:sz="4" w:space="0" w:color="auto"/>
            </w:tcBorders>
            <w:shd w:val="clear" w:color="auto" w:fill="auto"/>
            <w:noWrap/>
            <w:vAlign w:val="center"/>
            <w:hideMark/>
          </w:tcPr>
          <w:p w14:paraId="13B4C910"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24.27 ± 26.54</w:t>
            </w:r>
          </w:p>
        </w:tc>
        <w:tc>
          <w:tcPr>
            <w:tcW w:w="1596" w:type="dxa"/>
            <w:tcBorders>
              <w:top w:val="nil"/>
              <w:left w:val="nil"/>
              <w:bottom w:val="single" w:sz="4" w:space="0" w:color="auto"/>
              <w:right w:val="single" w:sz="4" w:space="0" w:color="auto"/>
            </w:tcBorders>
            <w:shd w:val="clear" w:color="auto" w:fill="auto"/>
            <w:vAlign w:val="center"/>
            <w:hideMark/>
          </w:tcPr>
          <w:p w14:paraId="1992258F"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18.54 ± 20.92</w:t>
            </w:r>
          </w:p>
        </w:tc>
        <w:tc>
          <w:tcPr>
            <w:tcW w:w="1728" w:type="dxa"/>
            <w:tcBorders>
              <w:top w:val="nil"/>
              <w:left w:val="nil"/>
              <w:bottom w:val="single" w:sz="4" w:space="0" w:color="auto"/>
              <w:right w:val="single" w:sz="8" w:space="0" w:color="auto"/>
            </w:tcBorders>
            <w:shd w:val="clear" w:color="auto" w:fill="auto"/>
            <w:vAlign w:val="center"/>
            <w:hideMark/>
          </w:tcPr>
          <w:p w14:paraId="16B7A203"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61.66 ± 28.94</w:t>
            </w:r>
          </w:p>
        </w:tc>
      </w:tr>
      <w:tr w:rsidR="00024A5D" w:rsidRPr="0085077C" w14:paraId="7A360504"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2C9A06B7" w14:textId="6D812D47" w:rsidR="00024A5D" w:rsidRPr="00031351" w:rsidRDefault="00024A5D" w:rsidP="00024A5D">
            <w:pPr>
              <w:spacing w:after="0" w:line="240" w:lineRule="auto"/>
              <w:rPr>
                <w:rFonts w:eastAsia="Times New Roman" w:cstheme="minorHAnsi"/>
                <w:color w:val="000000"/>
                <w:highlight w:val="yellow"/>
                <w:lang w:eastAsia="en-GB"/>
              </w:rPr>
            </w:pPr>
            <w:r w:rsidRPr="00031351">
              <w:rPr>
                <w:rFonts w:cstheme="minorHAnsi"/>
                <w:color w:val="000000"/>
              </w:rPr>
              <w:t xml:space="preserve">LVOT/AV Peak Gradient* </w:t>
            </w:r>
            <w:r w:rsidRPr="00031351">
              <w:rPr>
                <w:rFonts w:cstheme="minorHAnsi"/>
                <w:sz w:val="24"/>
                <w:szCs w:val="24"/>
              </w:rPr>
              <w:t>≥</w:t>
            </w:r>
            <w:r w:rsidRPr="00031351">
              <w:rPr>
                <w:rFonts w:cstheme="minorHAnsi"/>
                <w:color w:val="000000"/>
              </w:rPr>
              <w:t>30mmHg %</w:t>
            </w:r>
          </w:p>
        </w:tc>
        <w:tc>
          <w:tcPr>
            <w:tcW w:w="1596" w:type="dxa"/>
            <w:tcBorders>
              <w:top w:val="nil"/>
              <w:left w:val="nil"/>
              <w:bottom w:val="single" w:sz="4" w:space="0" w:color="auto"/>
              <w:right w:val="single" w:sz="4" w:space="0" w:color="auto"/>
            </w:tcBorders>
            <w:shd w:val="clear" w:color="auto" w:fill="auto"/>
            <w:noWrap/>
            <w:vAlign w:val="center"/>
            <w:hideMark/>
          </w:tcPr>
          <w:p w14:paraId="2C0069E8"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24.83%</w:t>
            </w:r>
          </w:p>
        </w:tc>
        <w:tc>
          <w:tcPr>
            <w:tcW w:w="1596" w:type="dxa"/>
            <w:tcBorders>
              <w:top w:val="nil"/>
              <w:left w:val="nil"/>
              <w:bottom w:val="single" w:sz="4" w:space="0" w:color="auto"/>
              <w:right w:val="single" w:sz="4" w:space="0" w:color="auto"/>
            </w:tcBorders>
            <w:shd w:val="clear" w:color="auto" w:fill="auto"/>
            <w:vAlign w:val="center"/>
            <w:hideMark/>
          </w:tcPr>
          <w:p w14:paraId="26EBB170"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15.75%</w:t>
            </w:r>
          </w:p>
        </w:tc>
        <w:tc>
          <w:tcPr>
            <w:tcW w:w="1728" w:type="dxa"/>
            <w:tcBorders>
              <w:top w:val="nil"/>
              <w:left w:val="nil"/>
              <w:bottom w:val="single" w:sz="4" w:space="0" w:color="auto"/>
              <w:right w:val="single" w:sz="8" w:space="0" w:color="auto"/>
            </w:tcBorders>
            <w:shd w:val="clear" w:color="auto" w:fill="auto"/>
            <w:vAlign w:val="center"/>
            <w:hideMark/>
          </w:tcPr>
          <w:p w14:paraId="3B02EC75" w14:textId="77777777" w:rsidR="00024A5D" w:rsidRPr="00031351" w:rsidRDefault="00024A5D" w:rsidP="00024A5D">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100.00%</w:t>
            </w:r>
          </w:p>
        </w:tc>
      </w:tr>
      <w:tr w:rsidR="00EC0279" w:rsidRPr="0085077C" w14:paraId="208A6190"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056B535B"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LVEF</w:t>
            </w:r>
          </w:p>
        </w:tc>
        <w:tc>
          <w:tcPr>
            <w:tcW w:w="1596" w:type="dxa"/>
            <w:tcBorders>
              <w:top w:val="nil"/>
              <w:left w:val="nil"/>
              <w:bottom w:val="single" w:sz="4" w:space="0" w:color="auto"/>
              <w:right w:val="single" w:sz="4" w:space="0" w:color="auto"/>
            </w:tcBorders>
            <w:shd w:val="clear" w:color="auto" w:fill="auto"/>
            <w:noWrap/>
            <w:vAlign w:val="center"/>
            <w:hideMark/>
          </w:tcPr>
          <w:p w14:paraId="016988E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64.91 ± 14.22</w:t>
            </w:r>
          </w:p>
        </w:tc>
        <w:tc>
          <w:tcPr>
            <w:tcW w:w="1596" w:type="dxa"/>
            <w:tcBorders>
              <w:top w:val="nil"/>
              <w:left w:val="nil"/>
              <w:bottom w:val="single" w:sz="4" w:space="0" w:color="auto"/>
              <w:right w:val="single" w:sz="4" w:space="0" w:color="auto"/>
            </w:tcBorders>
            <w:shd w:val="clear" w:color="auto" w:fill="auto"/>
            <w:vAlign w:val="center"/>
            <w:hideMark/>
          </w:tcPr>
          <w:p w14:paraId="48B6AEC9"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61.81 ± 13.00</w:t>
            </w:r>
          </w:p>
        </w:tc>
        <w:tc>
          <w:tcPr>
            <w:tcW w:w="1728" w:type="dxa"/>
            <w:tcBorders>
              <w:top w:val="nil"/>
              <w:left w:val="nil"/>
              <w:bottom w:val="single" w:sz="4" w:space="0" w:color="auto"/>
              <w:right w:val="single" w:sz="8" w:space="0" w:color="auto"/>
            </w:tcBorders>
            <w:shd w:val="clear" w:color="auto" w:fill="auto"/>
            <w:vAlign w:val="center"/>
            <w:hideMark/>
          </w:tcPr>
          <w:p w14:paraId="235C21D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67.76 ± 14.81</w:t>
            </w:r>
          </w:p>
        </w:tc>
      </w:tr>
      <w:tr w:rsidR="00EC0279" w:rsidRPr="0085077C" w14:paraId="397C2795" w14:textId="77777777" w:rsidTr="00CB0A16">
        <w:trPr>
          <w:trHeight w:val="281"/>
        </w:trPr>
        <w:tc>
          <w:tcPr>
            <w:tcW w:w="4943" w:type="dxa"/>
            <w:tcBorders>
              <w:top w:val="nil"/>
              <w:left w:val="single" w:sz="8" w:space="0" w:color="auto"/>
              <w:bottom w:val="single" w:sz="4" w:space="0" w:color="auto"/>
              <w:right w:val="single" w:sz="4" w:space="0" w:color="auto"/>
            </w:tcBorders>
            <w:shd w:val="clear" w:color="auto" w:fill="auto"/>
            <w:vAlign w:val="center"/>
            <w:hideMark/>
          </w:tcPr>
          <w:p w14:paraId="77CD96D8"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LVEF &lt;55%</w:t>
            </w:r>
          </w:p>
        </w:tc>
        <w:tc>
          <w:tcPr>
            <w:tcW w:w="1596" w:type="dxa"/>
            <w:tcBorders>
              <w:top w:val="nil"/>
              <w:left w:val="nil"/>
              <w:bottom w:val="single" w:sz="4" w:space="0" w:color="auto"/>
              <w:right w:val="single" w:sz="4" w:space="0" w:color="auto"/>
            </w:tcBorders>
            <w:shd w:val="clear" w:color="auto" w:fill="auto"/>
            <w:noWrap/>
            <w:vAlign w:val="center"/>
            <w:hideMark/>
          </w:tcPr>
          <w:p w14:paraId="2520CBE4"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18.22%</w:t>
            </w:r>
          </w:p>
        </w:tc>
        <w:tc>
          <w:tcPr>
            <w:tcW w:w="1596" w:type="dxa"/>
            <w:tcBorders>
              <w:top w:val="nil"/>
              <w:left w:val="nil"/>
              <w:bottom w:val="single" w:sz="4" w:space="0" w:color="auto"/>
              <w:right w:val="single" w:sz="4" w:space="0" w:color="auto"/>
            </w:tcBorders>
            <w:shd w:val="clear" w:color="auto" w:fill="auto"/>
            <w:vAlign w:val="center"/>
            <w:hideMark/>
          </w:tcPr>
          <w:p w14:paraId="763AA132"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20.34%</w:t>
            </w:r>
          </w:p>
        </w:tc>
        <w:tc>
          <w:tcPr>
            <w:tcW w:w="1728" w:type="dxa"/>
            <w:tcBorders>
              <w:top w:val="nil"/>
              <w:left w:val="nil"/>
              <w:bottom w:val="single" w:sz="4" w:space="0" w:color="auto"/>
              <w:right w:val="single" w:sz="8" w:space="0" w:color="auto"/>
            </w:tcBorders>
            <w:shd w:val="clear" w:color="auto" w:fill="auto"/>
            <w:vAlign w:val="center"/>
            <w:hideMark/>
          </w:tcPr>
          <w:p w14:paraId="42470448"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15.37%</w:t>
            </w:r>
          </w:p>
        </w:tc>
      </w:tr>
      <w:tr w:rsidR="00EC0279" w:rsidRPr="0085077C" w14:paraId="068C3683"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6B074868" w14:textId="581B4A78"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 xml:space="preserve">LVEF </w:t>
            </w:r>
            <w:r w:rsidR="007D5C93" w:rsidRPr="004B22CD">
              <w:rPr>
                <w:rFonts w:cstheme="minorHAnsi"/>
                <w:sz w:val="24"/>
                <w:szCs w:val="24"/>
              </w:rPr>
              <w:t>≥</w:t>
            </w:r>
            <w:r w:rsidRPr="00031351">
              <w:rPr>
                <w:rFonts w:eastAsia="Times New Roman" w:cstheme="minorHAnsi"/>
                <w:color w:val="000000"/>
                <w:lang w:eastAsia="en-GB"/>
              </w:rPr>
              <w:t>55%</w:t>
            </w:r>
          </w:p>
        </w:tc>
        <w:tc>
          <w:tcPr>
            <w:tcW w:w="1596" w:type="dxa"/>
            <w:tcBorders>
              <w:top w:val="nil"/>
              <w:left w:val="nil"/>
              <w:bottom w:val="single" w:sz="4" w:space="0" w:color="auto"/>
              <w:right w:val="single" w:sz="4" w:space="0" w:color="auto"/>
            </w:tcBorders>
            <w:shd w:val="clear" w:color="000000" w:fill="FFFFFF"/>
            <w:noWrap/>
            <w:vAlign w:val="center"/>
            <w:hideMark/>
          </w:tcPr>
          <w:p w14:paraId="1171B05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81.78%</w:t>
            </w:r>
          </w:p>
        </w:tc>
        <w:tc>
          <w:tcPr>
            <w:tcW w:w="1596" w:type="dxa"/>
            <w:tcBorders>
              <w:top w:val="nil"/>
              <w:left w:val="nil"/>
              <w:bottom w:val="single" w:sz="4" w:space="0" w:color="auto"/>
              <w:right w:val="single" w:sz="4" w:space="0" w:color="auto"/>
            </w:tcBorders>
            <w:shd w:val="clear" w:color="000000" w:fill="FFFFFF"/>
            <w:vAlign w:val="center"/>
            <w:hideMark/>
          </w:tcPr>
          <w:p w14:paraId="518715D5"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79.66%</w:t>
            </w:r>
          </w:p>
        </w:tc>
        <w:tc>
          <w:tcPr>
            <w:tcW w:w="1728" w:type="dxa"/>
            <w:tcBorders>
              <w:top w:val="nil"/>
              <w:left w:val="nil"/>
              <w:bottom w:val="single" w:sz="4" w:space="0" w:color="auto"/>
              <w:right w:val="single" w:sz="8" w:space="0" w:color="auto"/>
            </w:tcBorders>
            <w:shd w:val="clear" w:color="000000" w:fill="FFFFFF"/>
            <w:vAlign w:val="center"/>
            <w:hideMark/>
          </w:tcPr>
          <w:p w14:paraId="465D5B81"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84.63%</w:t>
            </w:r>
          </w:p>
        </w:tc>
      </w:tr>
      <w:tr w:rsidR="00EC0279" w:rsidRPr="0085077C" w14:paraId="68802DA0"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4C14007A"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Mitral E wave velocity,</w:t>
            </w:r>
          </w:p>
        </w:tc>
        <w:tc>
          <w:tcPr>
            <w:tcW w:w="1596" w:type="dxa"/>
            <w:tcBorders>
              <w:top w:val="nil"/>
              <w:left w:val="nil"/>
              <w:bottom w:val="single" w:sz="4" w:space="0" w:color="auto"/>
              <w:right w:val="single" w:sz="4" w:space="0" w:color="auto"/>
            </w:tcBorders>
            <w:shd w:val="clear" w:color="000000" w:fill="FFFFFF"/>
            <w:noWrap/>
            <w:vAlign w:val="center"/>
            <w:hideMark/>
          </w:tcPr>
          <w:p w14:paraId="36632DB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89.92 ± 35.31</w:t>
            </w:r>
          </w:p>
        </w:tc>
        <w:tc>
          <w:tcPr>
            <w:tcW w:w="1596" w:type="dxa"/>
            <w:tcBorders>
              <w:top w:val="nil"/>
              <w:left w:val="nil"/>
              <w:bottom w:val="single" w:sz="4" w:space="0" w:color="auto"/>
              <w:right w:val="single" w:sz="4" w:space="0" w:color="auto"/>
            </w:tcBorders>
            <w:shd w:val="clear" w:color="000000" w:fill="FFFFFF"/>
            <w:vAlign w:val="center"/>
            <w:hideMark/>
          </w:tcPr>
          <w:p w14:paraId="15DCFCA7"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87.44 ± 34.54</w:t>
            </w:r>
          </w:p>
        </w:tc>
        <w:tc>
          <w:tcPr>
            <w:tcW w:w="1728" w:type="dxa"/>
            <w:tcBorders>
              <w:top w:val="nil"/>
              <w:left w:val="nil"/>
              <w:bottom w:val="single" w:sz="4" w:space="0" w:color="auto"/>
              <w:right w:val="single" w:sz="8" w:space="0" w:color="auto"/>
            </w:tcBorders>
            <w:shd w:val="clear" w:color="000000" w:fill="FFFFFF"/>
            <w:vAlign w:val="center"/>
            <w:hideMark/>
          </w:tcPr>
          <w:p w14:paraId="59D5573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105.52 ± 41.58</w:t>
            </w:r>
          </w:p>
        </w:tc>
      </w:tr>
      <w:tr w:rsidR="00EC0279" w:rsidRPr="0085077C" w14:paraId="4659153A"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18634000"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Mitral E wave velocity &gt;90cm/s %</w:t>
            </w:r>
          </w:p>
        </w:tc>
        <w:tc>
          <w:tcPr>
            <w:tcW w:w="1596" w:type="dxa"/>
            <w:tcBorders>
              <w:top w:val="nil"/>
              <w:left w:val="nil"/>
              <w:bottom w:val="single" w:sz="4" w:space="0" w:color="auto"/>
              <w:right w:val="single" w:sz="4" w:space="0" w:color="auto"/>
            </w:tcBorders>
            <w:shd w:val="clear" w:color="000000" w:fill="FFFFFF"/>
            <w:noWrap/>
            <w:vAlign w:val="center"/>
            <w:hideMark/>
          </w:tcPr>
          <w:p w14:paraId="329AF08E"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41.49%</w:t>
            </w:r>
          </w:p>
        </w:tc>
        <w:tc>
          <w:tcPr>
            <w:tcW w:w="1596" w:type="dxa"/>
            <w:tcBorders>
              <w:top w:val="nil"/>
              <w:left w:val="nil"/>
              <w:bottom w:val="single" w:sz="4" w:space="0" w:color="auto"/>
              <w:right w:val="single" w:sz="4" w:space="0" w:color="auto"/>
            </w:tcBorders>
            <w:shd w:val="clear" w:color="000000" w:fill="FFFFFF"/>
            <w:vAlign w:val="center"/>
            <w:hideMark/>
          </w:tcPr>
          <w:p w14:paraId="7D0B4608"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37.31%</w:t>
            </w:r>
          </w:p>
        </w:tc>
        <w:tc>
          <w:tcPr>
            <w:tcW w:w="1728" w:type="dxa"/>
            <w:tcBorders>
              <w:top w:val="nil"/>
              <w:left w:val="nil"/>
              <w:bottom w:val="single" w:sz="4" w:space="0" w:color="auto"/>
              <w:right w:val="single" w:sz="8" w:space="0" w:color="auto"/>
            </w:tcBorders>
            <w:shd w:val="clear" w:color="000000" w:fill="FFFFFF"/>
            <w:vAlign w:val="center"/>
            <w:hideMark/>
          </w:tcPr>
          <w:p w14:paraId="348AA7EE"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58.45%</w:t>
            </w:r>
          </w:p>
        </w:tc>
      </w:tr>
      <w:tr w:rsidR="00EC0279" w:rsidRPr="0085077C" w14:paraId="44FC57EC"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62901BA6"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 septal e’ velocity</w:t>
            </w:r>
          </w:p>
        </w:tc>
        <w:tc>
          <w:tcPr>
            <w:tcW w:w="1596" w:type="dxa"/>
            <w:tcBorders>
              <w:top w:val="nil"/>
              <w:left w:val="nil"/>
              <w:bottom w:val="single" w:sz="4" w:space="0" w:color="auto"/>
              <w:right w:val="single" w:sz="4" w:space="0" w:color="auto"/>
            </w:tcBorders>
            <w:shd w:val="clear" w:color="000000" w:fill="FFFFFF"/>
            <w:noWrap/>
            <w:vAlign w:val="center"/>
            <w:hideMark/>
          </w:tcPr>
          <w:p w14:paraId="4D819761"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5.78 ± 2.14</w:t>
            </w:r>
          </w:p>
        </w:tc>
        <w:tc>
          <w:tcPr>
            <w:tcW w:w="1596" w:type="dxa"/>
            <w:tcBorders>
              <w:top w:val="nil"/>
              <w:left w:val="nil"/>
              <w:bottom w:val="single" w:sz="4" w:space="0" w:color="auto"/>
              <w:right w:val="single" w:sz="4" w:space="0" w:color="auto"/>
            </w:tcBorders>
            <w:shd w:val="clear" w:color="000000" w:fill="FFFFFF"/>
            <w:vAlign w:val="center"/>
            <w:hideMark/>
          </w:tcPr>
          <w:p w14:paraId="7F99498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5.50 ± 2.09</w:t>
            </w:r>
          </w:p>
        </w:tc>
        <w:tc>
          <w:tcPr>
            <w:tcW w:w="1728" w:type="dxa"/>
            <w:tcBorders>
              <w:top w:val="nil"/>
              <w:left w:val="nil"/>
              <w:bottom w:val="single" w:sz="4" w:space="0" w:color="auto"/>
              <w:right w:val="single" w:sz="8" w:space="0" w:color="auto"/>
            </w:tcBorders>
            <w:shd w:val="clear" w:color="000000" w:fill="FFFFFF"/>
            <w:vAlign w:val="center"/>
            <w:hideMark/>
          </w:tcPr>
          <w:p w14:paraId="36A72327"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5.66 ± 2.03</w:t>
            </w:r>
          </w:p>
        </w:tc>
      </w:tr>
      <w:tr w:rsidR="00EC0279" w:rsidRPr="0085077C" w14:paraId="7E6F0D2F"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1FC5E0E3"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LV septal e’ velocity &lt;9cm/s %</w:t>
            </w:r>
          </w:p>
        </w:tc>
        <w:tc>
          <w:tcPr>
            <w:tcW w:w="1596" w:type="dxa"/>
            <w:tcBorders>
              <w:top w:val="nil"/>
              <w:left w:val="nil"/>
              <w:bottom w:val="single" w:sz="4" w:space="0" w:color="auto"/>
              <w:right w:val="single" w:sz="4" w:space="0" w:color="auto"/>
            </w:tcBorders>
            <w:shd w:val="clear" w:color="000000" w:fill="FFFFFF"/>
            <w:noWrap/>
            <w:vAlign w:val="center"/>
            <w:hideMark/>
          </w:tcPr>
          <w:p w14:paraId="05512A60"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87.30%</w:t>
            </w:r>
          </w:p>
        </w:tc>
        <w:tc>
          <w:tcPr>
            <w:tcW w:w="1596" w:type="dxa"/>
            <w:tcBorders>
              <w:top w:val="nil"/>
              <w:left w:val="nil"/>
              <w:bottom w:val="single" w:sz="4" w:space="0" w:color="auto"/>
              <w:right w:val="single" w:sz="4" w:space="0" w:color="auto"/>
            </w:tcBorders>
            <w:shd w:val="clear" w:color="000000" w:fill="FFFFFF"/>
            <w:vAlign w:val="center"/>
            <w:hideMark/>
          </w:tcPr>
          <w:p w14:paraId="15D36A69"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93.30%</w:t>
            </w:r>
          </w:p>
        </w:tc>
        <w:tc>
          <w:tcPr>
            <w:tcW w:w="1728" w:type="dxa"/>
            <w:tcBorders>
              <w:top w:val="nil"/>
              <w:left w:val="nil"/>
              <w:bottom w:val="single" w:sz="4" w:space="0" w:color="auto"/>
              <w:right w:val="single" w:sz="8" w:space="0" w:color="auto"/>
            </w:tcBorders>
            <w:shd w:val="clear" w:color="000000" w:fill="FFFFFF"/>
            <w:vAlign w:val="center"/>
            <w:hideMark/>
          </w:tcPr>
          <w:p w14:paraId="6AA60733"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86.57%</w:t>
            </w:r>
          </w:p>
        </w:tc>
      </w:tr>
      <w:tr w:rsidR="00EC0279" w:rsidRPr="0085077C" w14:paraId="20984D76"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0559C63B"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Mitral E:e’ ratio</w:t>
            </w:r>
          </w:p>
        </w:tc>
        <w:tc>
          <w:tcPr>
            <w:tcW w:w="1596" w:type="dxa"/>
            <w:tcBorders>
              <w:top w:val="nil"/>
              <w:left w:val="nil"/>
              <w:bottom w:val="single" w:sz="4" w:space="0" w:color="auto"/>
              <w:right w:val="single" w:sz="4" w:space="0" w:color="auto"/>
            </w:tcBorders>
            <w:shd w:val="clear" w:color="000000" w:fill="FFFFFF"/>
            <w:noWrap/>
            <w:vAlign w:val="center"/>
            <w:hideMark/>
          </w:tcPr>
          <w:p w14:paraId="6016662D"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16.06 ± 7.78</w:t>
            </w:r>
          </w:p>
        </w:tc>
        <w:tc>
          <w:tcPr>
            <w:tcW w:w="1596" w:type="dxa"/>
            <w:tcBorders>
              <w:top w:val="nil"/>
              <w:left w:val="nil"/>
              <w:bottom w:val="single" w:sz="4" w:space="0" w:color="auto"/>
              <w:right w:val="single" w:sz="4" w:space="0" w:color="auto"/>
            </w:tcBorders>
            <w:shd w:val="clear" w:color="000000" w:fill="FFFFFF"/>
            <w:vAlign w:val="center"/>
            <w:hideMark/>
          </w:tcPr>
          <w:p w14:paraId="565AB4A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16.61± 8.16</w:t>
            </w:r>
          </w:p>
        </w:tc>
        <w:tc>
          <w:tcPr>
            <w:tcW w:w="1728" w:type="dxa"/>
            <w:tcBorders>
              <w:top w:val="nil"/>
              <w:left w:val="nil"/>
              <w:bottom w:val="single" w:sz="4" w:space="0" w:color="auto"/>
              <w:right w:val="single" w:sz="8" w:space="0" w:color="auto"/>
            </w:tcBorders>
            <w:shd w:val="clear" w:color="000000" w:fill="FFFFFF"/>
            <w:vAlign w:val="center"/>
            <w:hideMark/>
          </w:tcPr>
          <w:p w14:paraId="70D1182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18.81 ± 9.55</w:t>
            </w:r>
          </w:p>
        </w:tc>
      </w:tr>
      <w:tr w:rsidR="00EC0279" w:rsidRPr="0085077C" w14:paraId="54BE8C2F"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0DE071D3"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Mitral E:e’ ratio &gt;9 %</w:t>
            </w:r>
          </w:p>
        </w:tc>
        <w:tc>
          <w:tcPr>
            <w:tcW w:w="1596" w:type="dxa"/>
            <w:tcBorders>
              <w:top w:val="nil"/>
              <w:left w:val="nil"/>
              <w:bottom w:val="single" w:sz="4" w:space="0" w:color="auto"/>
              <w:right w:val="single" w:sz="4" w:space="0" w:color="auto"/>
            </w:tcBorders>
            <w:shd w:val="clear" w:color="000000" w:fill="FFFFFF"/>
            <w:noWrap/>
            <w:vAlign w:val="center"/>
            <w:hideMark/>
          </w:tcPr>
          <w:p w14:paraId="767B69D7"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88.41%</w:t>
            </w:r>
          </w:p>
        </w:tc>
        <w:tc>
          <w:tcPr>
            <w:tcW w:w="1596" w:type="dxa"/>
            <w:tcBorders>
              <w:top w:val="nil"/>
              <w:left w:val="nil"/>
              <w:bottom w:val="single" w:sz="4" w:space="0" w:color="auto"/>
              <w:right w:val="single" w:sz="4" w:space="0" w:color="auto"/>
            </w:tcBorders>
            <w:shd w:val="clear" w:color="000000" w:fill="FFFFFF"/>
            <w:vAlign w:val="center"/>
            <w:hideMark/>
          </w:tcPr>
          <w:p w14:paraId="7798542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89.30%</w:t>
            </w:r>
          </w:p>
        </w:tc>
        <w:tc>
          <w:tcPr>
            <w:tcW w:w="1728" w:type="dxa"/>
            <w:tcBorders>
              <w:top w:val="nil"/>
              <w:left w:val="nil"/>
              <w:bottom w:val="single" w:sz="4" w:space="0" w:color="auto"/>
              <w:right w:val="single" w:sz="8" w:space="0" w:color="auto"/>
            </w:tcBorders>
            <w:shd w:val="clear" w:color="000000" w:fill="FFFFFF"/>
            <w:vAlign w:val="center"/>
            <w:hideMark/>
          </w:tcPr>
          <w:p w14:paraId="29E1C13A"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93.27%</w:t>
            </w:r>
          </w:p>
        </w:tc>
      </w:tr>
      <w:tr w:rsidR="00EC0279" w:rsidRPr="0085077C" w14:paraId="7ABDD066" w14:textId="77777777" w:rsidTr="00CB0A16">
        <w:trPr>
          <w:trHeight w:val="281"/>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2D14D72B"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Left atrial volume index, ml/m</w:t>
            </w:r>
            <w:r w:rsidRPr="00031351">
              <w:rPr>
                <w:rFonts w:eastAsia="Times New Roman" w:cstheme="minorHAnsi"/>
                <w:color w:val="000000"/>
                <w:sz w:val="20"/>
                <w:szCs w:val="20"/>
                <w:vertAlign w:val="superscript"/>
                <w:lang w:eastAsia="en-GB"/>
              </w:rPr>
              <w:t>2</w:t>
            </w:r>
          </w:p>
        </w:tc>
        <w:tc>
          <w:tcPr>
            <w:tcW w:w="1596" w:type="dxa"/>
            <w:tcBorders>
              <w:top w:val="nil"/>
              <w:left w:val="nil"/>
              <w:bottom w:val="single" w:sz="4" w:space="0" w:color="auto"/>
              <w:right w:val="single" w:sz="4" w:space="0" w:color="auto"/>
            </w:tcBorders>
            <w:shd w:val="clear" w:color="000000" w:fill="FFFFFF"/>
            <w:noWrap/>
            <w:vAlign w:val="center"/>
            <w:hideMark/>
          </w:tcPr>
          <w:p w14:paraId="138F5C4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60.74 ± 34.38</w:t>
            </w:r>
          </w:p>
        </w:tc>
        <w:tc>
          <w:tcPr>
            <w:tcW w:w="1596" w:type="dxa"/>
            <w:tcBorders>
              <w:top w:val="nil"/>
              <w:left w:val="nil"/>
              <w:bottom w:val="single" w:sz="4" w:space="0" w:color="auto"/>
              <w:right w:val="single" w:sz="4" w:space="0" w:color="auto"/>
            </w:tcBorders>
            <w:shd w:val="clear" w:color="000000" w:fill="FFFFFF"/>
            <w:vAlign w:val="center"/>
            <w:hideMark/>
          </w:tcPr>
          <w:p w14:paraId="7DD3A020"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49.33 ± 25.86</w:t>
            </w:r>
          </w:p>
        </w:tc>
        <w:tc>
          <w:tcPr>
            <w:tcW w:w="1728" w:type="dxa"/>
            <w:tcBorders>
              <w:top w:val="nil"/>
              <w:left w:val="nil"/>
              <w:bottom w:val="single" w:sz="4" w:space="0" w:color="auto"/>
              <w:right w:val="single" w:sz="8" w:space="0" w:color="auto"/>
            </w:tcBorders>
            <w:shd w:val="clear" w:color="000000" w:fill="FFFFFF"/>
            <w:vAlign w:val="center"/>
            <w:hideMark/>
          </w:tcPr>
          <w:p w14:paraId="3AB2DC65"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774.39 ± 38.92</w:t>
            </w:r>
          </w:p>
        </w:tc>
      </w:tr>
      <w:tr w:rsidR="00EC0279" w:rsidRPr="0085077C" w14:paraId="79BFF31C" w14:textId="77777777" w:rsidTr="00CB0A16">
        <w:trPr>
          <w:trHeight w:val="297"/>
        </w:trPr>
        <w:tc>
          <w:tcPr>
            <w:tcW w:w="4943" w:type="dxa"/>
            <w:tcBorders>
              <w:top w:val="nil"/>
              <w:left w:val="single" w:sz="8" w:space="0" w:color="auto"/>
              <w:bottom w:val="single" w:sz="4" w:space="0" w:color="auto"/>
              <w:right w:val="single" w:sz="4" w:space="0" w:color="auto"/>
            </w:tcBorders>
            <w:shd w:val="clear" w:color="000000" w:fill="FFFFFF"/>
            <w:vAlign w:val="center"/>
            <w:hideMark/>
          </w:tcPr>
          <w:p w14:paraId="5EF0E4B8"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Left atrial volume index, &gt;34ml/m</w:t>
            </w:r>
            <w:r w:rsidRPr="00031351">
              <w:rPr>
                <w:rFonts w:eastAsia="Times New Roman" w:cstheme="minorHAnsi"/>
                <w:color w:val="000000"/>
                <w:sz w:val="20"/>
                <w:szCs w:val="20"/>
                <w:vertAlign w:val="superscript"/>
                <w:lang w:eastAsia="en-GB"/>
              </w:rPr>
              <w:t>2</w:t>
            </w:r>
            <w:r w:rsidRPr="00031351">
              <w:rPr>
                <w:rFonts w:eastAsia="Times New Roman" w:cstheme="minorHAnsi"/>
                <w:color w:val="000000"/>
                <w:lang w:eastAsia="en-GB"/>
              </w:rPr>
              <w:t> %</w:t>
            </w:r>
          </w:p>
        </w:tc>
        <w:tc>
          <w:tcPr>
            <w:tcW w:w="1596" w:type="dxa"/>
            <w:tcBorders>
              <w:top w:val="nil"/>
              <w:left w:val="nil"/>
              <w:bottom w:val="single" w:sz="4" w:space="0" w:color="auto"/>
              <w:right w:val="single" w:sz="4" w:space="0" w:color="auto"/>
            </w:tcBorders>
            <w:shd w:val="clear" w:color="000000" w:fill="FFFFFF"/>
            <w:noWrap/>
            <w:vAlign w:val="center"/>
            <w:hideMark/>
          </w:tcPr>
          <w:p w14:paraId="5A8356DC"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77.76%</w:t>
            </w:r>
          </w:p>
        </w:tc>
        <w:tc>
          <w:tcPr>
            <w:tcW w:w="1596" w:type="dxa"/>
            <w:tcBorders>
              <w:top w:val="nil"/>
              <w:left w:val="nil"/>
              <w:bottom w:val="single" w:sz="4" w:space="0" w:color="auto"/>
              <w:right w:val="single" w:sz="4" w:space="0" w:color="auto"/>
            </w:tcBorders>
            <w:shd w:val="clear" w:color="000000" w:fill="FFFFFF"/>
            <w:vAlign w:val="center"/>
            <w:hideMark/>
          </w:tcPr>
          <w:p w14:paraId="7BA824F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71.19%</w:t>
            </w:r>
          </w:p>
        </w:tc>
        <w:tc>
          <w:tcPr>
            <w:tcW w:w="1728" w:type="dxa"/>
            <w:tcBorders>
              <w:top w:val="nil"/>
              <w:left w:val="nil"/>
              <w:bottom w:val="single" w:sz="4" w:space="0" w:color="auto"/>
              <w:right w:val="single" w:sz="8" w:space="0" w:color="auto"/>
            </w:tcBorders>
            <w:shd w:val="clear" w:color="000000" w:fill="FFFFFF"/>
            <w:vAlign w:val="center"/>
            <w:hideMark/>
          </w:tcPr>
          <w:p w14:paraId="7C9EF8E9"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89.51%</w:t>
            </w:r>
          </w:p>
        </w:tc>
      </w:tr>
      <w:tr w:rsidR="00EC0279" w:rsidRPr="0085077C" w14:paraId="44BE3931" w14:textId="77777777" w:rsidTr="00CB0A16">
        <w:trPr>
          <w:trHeight w:val="297"/>
        </w:trPr>
        <w:tc>
          <w:tcPr>
            <w:tcW w:w="4943" w:type="dxa"/>
            <w:tcBorders>
              <w:top w:val="nil"/>
              <w:left w:val="single" w:sz="8" w:space="0" w:color="auto"/>
              <w:bottom w:val="single" w:sz="8" w:space="0" w:color="auto"/>
              <w:right w:val="single" w:sz="4" w:space="0" w:color="auto"/>
            </w:tcBorders>
            <w:shd w:val="clear" w:color="000000" w:fill="FFFFFF"/>
            <w:vAlign w:val="center"/>
            <w:hideMark/>
          </w:tcPr>
          <w:p w14:paraId="53DE6BBD" w14:textId="77777777" w:rsidR="00EC0279" w:rsidRPr="00031351" w:rsidRDefault="00EC0279" w:rsidP="00DE0218">
            <w:pPr>
              <w:spacing w:after="0" w:line="240" w:lineRule="auto"/>
              <w:rPr>
                <w:rFonts w:eastAsia="Times New Roman" w:cstheme="minorHAnsi"/>
                <w:color w:val="000000"/>
                <w:lang w:eastAsia="en-GB"/>
              </w:rPr>
            </w:pPr>
            <w:r w:rsidRPr="00031351">
              <w:rPr>
                <w:rFonts w:eastAsia="Times New Roman" w:cstheme="minorHAnsi"/>
                <w:color w:val="000000"/>
                <w:lang w:eastAsia="en-GB"/>
              </w:rPr>
              <w:t>Moderate-to-Severe mitral regurgitation, %</w:t>
            </w:r>
          </w:p>
        </w:tc>
        <w:tc>
          <w:tcPr>
            <w:tcW w:w="1596" w:type="dxa"/>
            <w:tcBorders>
              <w:top w:val="nil"/>
              <w:left w:val="nil"/>
              <w:bottom w:val="single" w:sz="8" w:space="0" w:color="auto"/>
              <w:right w:val="single" w:sz="4" w:space="0" w:color="auto"/>
            </w:tcBorders>
            <w:shd w:val="clear" w:color="000000" w:fill="FFFFFF"/>
            <w:noWrap/>
            <w:vAlign w:val="center"/>
            <w:hideMark/>
          </w:tcPr>
          <w:p w14:paraId="16D80129"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19.89%</w:t>
            </w:r>
          </w:p>
        </w:tc>
        <w:tc>
          <w:tcPr>
            <w:tcW w:w="1596" w:type="dxa"/>
            <w:tcBorders>
              <w:top w:val="nil"/>
              <w:left w:val="nil"/>
              <w:bottom w:val="single" w:sz="8" w:space="0" w:color="auto"/>
              <w:right w:val="single" w:sz="4" w:space="0" w:color="auto"/>
            </w:tcBorders>
            <w:shd w:val="clear" w:color="000000" w:fill="FFFFFF"/>
            <w:vAlign w:val="center"/>
            <w:hideMark/>
          </w:tcPr>
          <w:p w14:paraId="77B15104"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24.56%</w:t>
            </w:r>
          </w:p>
        </w:tc>
        <w:tc>
          <w:tcPr>
            <w:tcW w:w="1728" w:type="dxa"/>
            <w:tcBorders>
              <w:top w:val="nil"/>
              <w:left w:val="nil"/>
              <w:bottom w:val="single" w:sz="8" w:space="0" w:color="auto"/>
              <w:right w:val="single" w:sz="8" w:space="0" w:color="auto"/>
            </w:tcBorders>
            <w:shd w:val="clear" w:color="000000" w:fill="FFFFFF"/>
            <w:vAlign w:val="center"/>
            <w:hideMark/>
          </w:tcPr>
          <w:p w14:paraId="687DFF76" w14:textId="77777777" w:rsidR="00EC0279" w:rsidRPr="00031351" w:rsidRDefault="00EC0279" w:rsidP="00DE0218">
            <w:pPr>
              <w:spacing w:after="0" w:line="240" w:lineRule="auto"/>
              <w:jc w:val="center"/>
              <w:rPr>
                <w:rFonts w:eastAsia="Times New Roman" w:cstheme="minorHAnsi"/>
                <w:color w:val="000000"/>
                <w:lang w:eastAsia="en-GB"/>
              </w:rPr>
            </w:pPr>
            <w:r w:rsidRPr="00031351">
              <w:rPr>
                <w:rFonts w:eastAsia="Times New Roman" w:cstheme="minorHAnsi"/>
                <w:color w:val="000000"/>
                <w:lang w:eastAsia="en-GB"/>
              </w:rPr>
              <w:t>25.75%</w:t>
            </w:r>
          </w:p>
        </w:tc>
      </w:tr>
    </w:tbl>
    <w:p w14:paraId="1E118C04" w14:textId="77777777" w:rsidR="00F32DFA" w:rsidRDefault="00F32DFA" w:rsidP="00F32DFA">
      <w:pPr>
        <w:spacing w:after="0" w:line="360" w:lineRule="auto"/>
        <w:rPr>
          <w:rFonts w:cstheme="minorHAnsi"/>
          <w:b/>
          <w:bCs/>
        </w:rPr>
      </w:pPr>
    </w:p>
    <w:p w14:paraId="779AE7CF" w14:textId="2C5F41DA" w:rsidR="00251E6A" w:rsidRPr="00F32DFA" w:rsidRDefault="00F32DFA" w:rsidP="00CB0A16">
      <w:pPr>
        <w:spacing w:after="0" w:line="360" w:lineRule="auto"/>
        <w:ind w:right="-188"/>
        <w:rPr>
          <w:b/>
          <w:bCs/>
          <w:smallCaps/>
          <w:noProof/>
          <w:color w:val="0070C0"/>
        </w:rPr>
      </w:pPr>
      <w:r w:rsidRPr="00F32DFA">
        <w:rPr>
          <w:rFonts w:cstheme="minorHAnsi"/>
          <w:b/>
          <w:bCs/>
        </w:rPr>
        <w:t>Legend</w:t>
      </w:r>
      <w:r w:rsidRPr="00F32DFA">
        <w:rPr>
          <w:rFonts w:cstheme="minorHAnsi"/>
        </w:rPr>
        <w:t xml:space="preserve">: </w:t>
      </w:r>
      <w:r w:rsidR="00251E6A" w:rsidRPr="00F32DFA">
        <w:rPr>
          <w:rFonts w:cstheme="minorHAnsi"/>
        </w:rPr>
        <w:t xml:space="preserve">*Continuous-Wave Doppler Evaluation of LVOT/AV velocities; </w:t>
      </w:r>
      <w:r w:rsidR="00251E6A">
        <w:rPr>
          <w:rFonts w:cstheme="minorHAnsi"/>
        </w:rPr>
        <w:t>a</w:t>
      </w:r>
      <w:r w:rsidR="00251E6A" w:rsidRPr="00251E6A">
        <w:rPr>
          <w:rFonts w:cstheme="minorHAnsi"/>
        </w:rPr>
        <w:t xml:space="preserve">symmetric </w:t>
      </w:r>
      <w:r w:rsidR="00251E6A">
        <w:rPr>
          <w:rFonts w:cstheme="minorHAnsi"/>
        </w:rPr>
        <w:t>s</w:t>
      </w:r>
      <w:r w:rsidR="00251E6A" w:rsidRPr="00251E6A">
        <w:rPr>
          <w:rFonts w:cstheme="minorHAnsi"/>
        </w:rPr>
        <w:t xml:space="preserve">eptal </w:t>
      </w:r>
      <w:r w:rsidR="00251E6A">
        <w:rPr>
          <w:rFonts w:cstheme="minorHAnsi"/>
        </w:rPr>
        <w:t>h</w:t>
      </w:r>
      <w:r w:rsidR="00251E6A" w:rsidRPr="00251E6A">
        <w:rPr>
          <w:rFonts w:cstheme="minorHAnsi"/>
        </w:rPr>
        <w:t>ypertrophy (ASH)</w:t>
      </w:r>
      <w:r w:rsidR="00251E6A">
        <w:rPr>
          <w:rFonts w:cstheme="minorHAnsi"/>
        </w:rPr>
        <w:t xml:space="preserve"> defined as s</w:t>
      </w:r>
      <w:r w:rsidR="00251E6A" w:rsidRPr="00251E6A">
        <w:rPr>
          <w:rFonts w:cstheme="minorHAnsi"/>
        </w:rPr>
        <w:t>eptal to posterior wall thickness ratio &gt;1.3</w:t>
      </w:r>
      <w:r w:rsidR="00251E6A">
        <w:rPr>
          <w:rFonts w:cstheme="minorHAnsi"/>
        </w:rPr>
        <w:t xml:space="preserve">; </w:t>
      </w:r>
      <w:r w:rsidR="00251E6A" w:rsidRPr="00F32DFA">
        <w:rPr>
          <w:rFonts w:cstheme="minorHAnsi"/>
        </w:rPr>
        <w:t>obstructive hypertrophic cardiomyopathy (oHCM) defined as any increase in LVOT/AV velocities corresponding to a peak gradient ≥30mmHg.</w:t>
      </w:r>
    </w:p>
    <w:p w14:paraId="6D4B6392" w14:textId="38F31723" w:rsidR="004B22CD" w:rsidRDefault="004B22CD">
      <w:pPr>
        <w:rPr>
          <w:rFonts w:cstheme="minorHAnsi"/>
        </w:rPr>
      </w:pPr>
      <w:r>
        <w:rPr>
          <w:rFonts w:cstheme="minorHAnsi"/>
        </w:rPr>
        <w:br w:type="page"/>
      </w:r>
    </w:p>
    <w:p w14:paraId="60CB68C3" w14:textId="65E092A7" w:rsidR="004B22CD" w:rsidRPr="004B22CD" w:rsidRDefault="004B22CD" w:rsidP="004B22CD">
      <w:pPr>
        <w:spacing w:line="240" w:lineRule="auto"/>
        <w:rPr>
          <w:b/>
          <w:bCs/>
          <w:smallCaps/>
          <w:noProof/>
          <w:color w:val="7030A0"/>
          <w:sz w:val="28"/>
          <w:szCs w:val="28"/>
        </w:rPr>
      </w:pPr>
      <w:r w:rsidRPr="0047105D">
        <w:rPr>
          <w:rFonts w:cstheme="minorHAnsi"/>
          <w:b/>
          <w:bCs/>
          <w:noProof/>
          <w:sz w:val="28"/>
          <w:szCs w:val="28"/>
        </w:rPr>
        <w:lastRenderedPageBreak/>
        <w:t>Supplementary Table S</w:t>
      </w:r>
      <w:r>
        <w:rPr>
          <w:rFonts w:cstheme="minorHAnsi"/>
          <w:b/>
          <w:bCs/>
          <w:noProof/>
          <w:sz w:val="28"/>
          <w:szCs w:val="28"/>
        </w:rPr>
        <w:t>3</w:t>
      </w:r>
      <w:r w:rsidRPr="0047105D">
        <w:rPr>
          <w:rFonts w:cstheme="minorHAnsi"/>
          <w:b/>
          <w:bCs/>
          <w:noProof/>
          <w:sz w:val="28"/>
          <w:szCs w:val="28"/>
        </w:rPr>
        <w:t xml:space="preserve">. </w:t>
      </w:r>
      <w:r>
        <w:rPr>
          <w:rFonts w:cstheme="minorHAnsi"/>
          <w:b/>
          <w:bCs/>
          <w:noProof/>
          <w:sz w:val="28"/>
          <w:szCs w:val="28"/>
        </w:rPr>
        <w:t>Specific c</w:t>
      </w:r>
      <w:r w:rsidRPr="00E35525">
        <w:rPr>
          <w:rFonts w:cstheme="minorHAnsi"/>
          <w:b/>
          <w:bCs/>
          <w:noProof/>
          <w:sz w:val="28"/>
          <w:szCs w:val="28"/>
        </w:rPr>
        <w:t xml:space="preserve">haracteristics of </w:t>
      </w:r>
      <w:r>
        <w:rPr>
          <w:rFonts w:cstheme="minorHAnsi"/>
          <w:b/>
          <w:bCs/>
          <w:noProof/>
          <w:sz w:val="28"/>
          <w:szCs w:val="28"/>
        </w:rPr>
        <w:t xml:space="preserve">Obstructive HCM cases within </w:t>
      </w:r>
      <w:r w:rsidRPr="00E35525">
        <w:rPr>
          <w:rFonts w:cstheme="minorHAnsi"/>
          <w:b/>
          <w:bCs/>
          <w:noProof/>
          <w:sz w:val="28"/>
          <w:szCs w:val="28"/>
        </w:rPr>
        <w:t xml:space="preserve">the NEDA </w:t>
      </w:r>
      <w:r w:rsidR="007D5C93">
        <w:rPr>
          <w:rFonts w:cstheme="minorHAnsi"/>
          <w:b/>
          <w:bCs/>
          <w:noProof/>
          <w:sz w:val="28"/>
          <w:szCs w:val="28"/>
        </w:rPr>
        <w:t>c</w:t>
      </w:r>
      <w:r w:rsidRPr="00E35525">
        <w:rPr>
          <w:rFonts w:cstheme="minorHAnsi"/>
          <w:b/>
          <w:bCs/>
          <w:noProof/>
          <w:sz w:val="28"/>
          <w:szCs w:val="28"/>
        </w:rPr>
        <w:t>ohort</w:t>
      </w:r>
      <w:r w:rsidRPr="00A569C0">
        <w:rPr>
          <w:b/>
          <w:bCs/>
          <w:smallCaps/>
          <w:noProof/>
          <w:color w:val="7030A0"/>
          <w:sz w:val="28"/>
          <w:szCs w:val="28"/>
        </w:rPr>
        <w:t xml:space="preserve"> </w:t>
      </w:r>
    </w:p>
    <w:tbl>
      <w:tblPr>
        <w:tblW w:w="11694" w:type="dxa"/>
        <w:jc w:val="center"/>
        <w:tblLook w:val="04A0" w:firstRow="1" w:lastRow="0" w:firstColumn="1" w:lastColumn="0" w:noHBand="0" w:noVBand="1"/>
      </w:tblPr>
      <w:tblGrid>
        <w:gridCol w:w="4700"/>
        <w:gridCol w:w="1571"/>
        <w:gridCol w:w="1941"/>
        <w:gridCol w:w="1712"/>
        <w:gridCol w:w="1770"/>
      </w:tblGrid>
      <w:tr w:rsidR="004B22CD" w:rsidRPr="0085077C" w14:paraId="1DE5C0AC" w14:textId="77777777" w:rsidTr="00DE0218">
        <w:trPr>
          <w:trHeight w:val="220"/>
          <w:jc w:val="center"/>
        </w:trPr>
        <w:tc>
          <w:tcPr>
            <w:tcW w:w="4700" w:type="dxa"/>
            <w:vMerge w:val="restart"/>
            <w:tcBorders>
              <w:top w:val="single" w:sz="8" w:space="0" w:color="auto"/>
              <w:left w:val="single" w:sz="8" w:space="0" w:color="auto"/>
              <w:bottom w:val="nil"/>
              <w:right w:val="single" w:sz="4" w:space="0" w:color="auto"/>
            </w:tcBorders>
            <w:shd w:val="clear" w:color="auto" w:fill="auto"/>
            <w:vAlign w:val="center"/>
            <w:hideMark/>
          </w:tcPr>
          <w:p w14:paraId="55E30DA4" w14:textId="08314DB3" w:rsidR="004B22CD" w:rsidRPr="004B22CD" w:rsidRDefault="004B22CD" w:rsidP="00DE0218">
            <w:pPr>
              <w:spacing w:after="0" w:line="240" w:lineRule="auto"/>
              <w:rPr>
                <w:rFonts w:eastAsia="Times New Roman" w:cstheme="minorHAnsi"/>
                <w:b/>
                <w:bCs/>
                <w:color w:val="000000"/>
                <w:lang w:eastAsia="en-GB"/>
              </w:rPr>
            </w:pPr>
            <w:r w:rsidRPr="004B22CD">
              <w:rPr>
                <w:rFonts w:eastAsia="Times New Roman" w:cstheme="minorHAnsi"/>
                <w:b/>
                <w:bCs/>
                <w:color w:val="000000"/>
                <w:lang w:eastAsia="en-GB"/>
              </w:rPr>
              <w:t>HCM cases with L</w:t>
            </w:r>
            <w:r>
              <w:rPr>
                <w:rFonts w:eastAsia="Times New Roman" w:cstheme="minorHAnsi"/>
                <w:b/>
                <w:bCs/>
                <w:color w:val="000000"/>
                <w:lang w:eastAsia="en-GB"/>
              </w:rPr>
              <w:t>VOTO profiling</w:t>
            </w:r>
          </w:p>
        </w:tc>
        <w:tc>
          <w:tcPr>
            <w:tcW w:w="1571" w:type="dxa"/>
            <w:tcBorders>
              <w:top w:val="single" w:sz="8" w:space="0" w:color="auto"/>
              <w:left w:val="single" w:sz="4" w:space="0" w:color="auto"/>
              <w:bottom w:val="nil"/>
              <w:right w:val="single" w:sz="4" w:space="0" w:color="auto"/>
            </w:tcBorders>
            <w:shd w:val="clear" w:color="auto" w:fill="auto"/>
            <w:vAlign w:val="center"/>
            <w:hideMark/>
          </w:tcPr>
          <w:p w14:paraId="028F3B67" w14:textId="673C7169"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HCM</w:t>
            </w:r>
            <w:r w:rsidR="00C03A11">
              <w:rPr>
                <w:rFonts w:eastAsia="Times New Roman" w:cstheme="minorHAnsi"/>
                <w:b/>
                <w:bCs/>
                <w:color w:val="000000"/>
                <w:lang w:eastAsia="en-GB"/>
              </w:rPr>
              <w:t xml:space="preserve"> Phenotype</w:t>
            </w:r>
          </w:p>
        </w:tc>
        <w:tc>
          <w:tcPr>
            <w:tcW w:w="1941" w:type="dxa"/>
            <w:tcBorders>
              <w:top w:val="single" w:sz="8" w:space="0" w:color="auto"/>
              <w:left w:val="single" w:sz="4" w:space="0" w:color="auto"/>
              <w:bottom w:val="nil"/>
              <w:right w:val="single" w:sz="4" w:space="0" w:color="auto"/>
            </w:tcBorders>
            <w:shd w:val="clear" w:color="auto" w:fill="auto"/>
            <w:vAlign w:val="center"/>
            <w:hideMark/>
          </w:tcPr>
          <w:p w14:paraId="4BE68455"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Evidence of oHCM</w:t>
            </w:r>
          </w:p>
        </w:tc>
        <w:tc>
          <w:tcPr>
            <w:tcW w:w="1712" w:type="dxa"/>
            <w:tcBorders>
              <w:top w:val="single" w:sz="8" w:space="0" w:color="auto"/>
              <w:left w:val="single" w:sz="4" w:space="0" w:color="auto"/>
              <w:bottom w:val="nil"/>
              <w:right w:val="single" w:sz="4" w:space="0" w:color="auto"/>
            </w:tcBorders>
            <w:shd w:val="clear" w:color="auto" w:fill="auto"/>
            <w:vAlign w:val="center"/>
            <w:hideMark/>
          </w:tcPr>
          <w:p w14:paraId="656F8746"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Mild oHCM</w:t>
            </w:r>
          </w:p>
        </w:tc>
        <w:tc>
          <w:tcPr>
            <w:tcW w:w="1770" w:type="dxa"/>
            <w:tcBorders>
              <w:top w:val="single" w:sz="8" w:space="0" w:color="auto"/>
              <w:left w:val="single" w:sz="4" w:space="0" w:color="auto"/>
              <w:bottom w:val="nil"/>
              <w:right w:val="single" w:sz="8" w:space="0" w:color="auto"/>
            </w:tcBorders>
            <w:shd w:val="clear" w:color="auto" w:fill="auto"/>
            <w:vAlign w:val="center"/>
            <w:hideMark/>
          </w:tcPr>
          <w:p w14:paraId="02A56379"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Severe oHCM</w:t>
            </w:r>
          </w:p>
        </w:tc>
      </w:tr>
      <w:tr w:rsidR="004B22CD" w:rsidRPr="0085077C" w14:paraId="6E319D1D" w14:textId="77777777" w:rsidTr="00DE0218">
        <w:trPr>
          <w:trHeight w:val="233"/>
          <w:jc w:val="center"/>
        </w:trPr>
        <w:tc>
          <w:tcPr>
            <w:tcW w:w="4700" w:type="dxa"/>
            <w:vMerge/>
            <w:tcBorders>
              <w:top w:val="single" w:sz="8" w:space="0" w:color="auto"/>
              <w:left w:val="single" w:sz="8" w:space="0" w:color="auto"/>
              <w:bottom w:val="nil"/>
              <w:right w:val="single" w:sz="4" w:space="0" w:color="auto"/>
            </w:tcBorders>
            <w:shd w:val="clear" w:color="auto" w:fill="auto"/>
            <w:vAlign w:val="center"/>
            <w:hideMark/>
          </w:tcPr>
          <w:p w14:paraId="121D444E" w14:textId="77777777" w:rsidR="004B22CD" w:rsidRPr="004B22CD" w:rsidRDefault="004B22CD" w:rsidP="00DE0218">
            <w:pPr>
              <w:spacing w:after="0" w:line="240" w:lineRule="auto"/>
              <w:rPr>
                <w:rFonts w:eastAsia="Times New Roman" w:cstheme="minorHAnsi"/>
                <w:b/>
                <w:bCs/>
                <w:color w:val="000000"/>
                <w:lang w:eastAsia="en-GB"/>
              </w:rPr>
            </w:pPr>
          </w:p>
        </w:tc>
        <w:tc>
          <w:tcPr>
            <w:tcW w:w="1571" w:type="dxa"/>
            <w:tcBorders>
              <w:top w:val="nil"/>
              <w:left w:val="single" w:sz="4" w:space="0" w:color="auto"/>
              <w:bottom w:val="nil"/>
              <w:right w:val="single" w:sz="4" w:space="0" w:color="auto"/>
            </w:tcBorders>
            <w:shd w:val="clear" w:color="auto" w:fill="auto"/>
            <w:vAlign w:val="center"/>
            <w:hideMark/>
          </w:tcPr>
          <w:p w14:paraId="07D22933"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10,290 cases</w:t>
            </w:r>
          </w:p>
        </w:tc>
        <w:tc>
          <w:tcPr>
            <w:tcW w:w="1941" w:type="dxa"/>
            <w:tcBorders>
              <w:top w:val="nil"/>
              <w:left w:val="single" w:sz="4" w:space="0" w:color="auto"/>
              <w:bottom w:val="nil"/>
              <w:right w:val="single" w:sz="4" w:space="0" w:color="auto"/>
            </w:tcBorders>
            <w:shd w:val="clear" w:color="auto" w:fill="auto"/>
            <w:vAlign w:val="center"/>
            <w:hideMark/>
          </w:tcPr>
          <w:p w14:paraId="24833A3C"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2,276 cases</w:t>
            </w:r>
          </w:p>
        </w:tc>
        <w:tc>
          <w:tcPr>
            <w:tcW w:w="1712" w:type="dxa"/>
            <w:tcBorders>
              <w:top w:val="nil"/>
              <w:left w:val="single" w:sz="4" w:space="0" w:color="auto"/>
              <w:bottom w:val="nil"/>
              <w:right w:val="single" w:sz="4" w:space="0" w:color="auto"/>
            </w:tcBorders>
            <w:shd w:val="clear" w:color="auto" w:fill="auto"/>
            <w:vAlign w:val="center"/>
            <w:hideMark/>
          </w:tcPr>
          <w:p w14:paraId="595DC5D2"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1,066 cases</w:t>
            </w:r>
          </w:p>
        </w:tc>
        <w:tc>
          <w:tcPr>
            <w:tcW w:w="1770" w:type="dxa"/>
            <w:tcBorders>
              <w:top w:val="nil"/>
              <w:left w:val="single" w:sz="4" w:space="0" w:color="auto"/>
              <w:bottom w:val="nil"/>
              <w:right w:val="single" w:sz="8" w:space="0" w:color="auto"/>
            </w:tcBorders>
            <w:shd w:val="clear" w:color="auto" w:fill="auto"/>
            <w:vAlign w:val="center"/>
            <w:hideMark/>
          </w:tcPr>
          <w:p w14:paraId="7D7AE1B3" w14:textId="77777777" w:rsidR="004B22CD" w:rsidRPr="004B22CD" w:rsidRDefault="004B22CD" w:rsidP="00DE0218">
            <w:pPr>
              <w:spacing w:after="0" w:line="240" w:lineRule="auto"/>
              <w:jc w:val="center"/>
              <w:rPr>
                <w:rFonts w:eastAsia="Times New Roman" w:cstheme="minorHAnsi"/>
                <w:b/>
                <w:bCs/>
                <w:color w:val="000000"/>
                <w:lang w:eastAsia="en-GB"/>
              </w:rPr>
            </w:pPr>
            <w:r w:rsidRPr="004B22CD">
              <w:rPr>
                <w:rFonts w:eastAsia="Times New Roman" w:cstheme="minorHAnsi"/>
                <w:b/>
                <w:bCs/>
                <w:color w:val="000000"/>
                <w:lang w:eastAsia="en-GB"/>
              </w:rPr>
              <w:t>1,210 cases</w:t>
            </w:r>
          </w:p>
        </w:tc>
      </w:tr>
      <w:tr w:rsidR="004B22CD" w:rsidRPr="0085077C" w14:paraId="4C915F56" w14:textId="77777777" w:rsidTr="00DE0218">
        <w:trPr>
          <w:trHeight w:val="233"/>
          <w:jc w:val="center"/>
        </w:trPr>
        <w:tc>
          <w:tcPr>
            <w:tcW w:w="1169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06562F1" w14:textId="77777777" w:rsidR="004B22CD" w:rsidRPr="004B22CD" w:rsidRDefault="004B22CD" w:rsidP="00DE0218">
            <w:pPr>
              <w:spacing w:after="0" w:line="240" w:lineRule="auto"/>
              <w:rPr>
                <w:rFonts w:eastAsia="Times New Roman" w:cstheme="minorHAnsi"/>
                <w:b/>
                <w:bCs/>
                <w:color w:val="000000"/>
                <w:lang w:eastAsia="en-GB"/>
              </w:rPr>
            </w:pPr>
            <w:r w:rsidRPr="004B22CD">
              <w:rPr>
                <w:rFonts w:eastAsia="Times New Roman" w:cstheme="minorHAnsi"/>
                <w:b/>
                <w:bCs/>
                <w:color w:val="000000"/>
                <w:lang w:eastAsia="en-GB"/>
              </w:rPr>
              <w:t>Demographic</w:t>
            </w:r>
          </w:p>
        </w:tc>
      </w:tr>
      <w:tr w:rsidR="004B22CD" w:rsidRPr="0085077C" w14:paraId="6D5C5B71"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00035165"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Men %</w:t>
            </w:r>
          </w:p>
        </w:tc>
        <w:tc>
          <w:tcPr>
            <w:tcW w:w="1571" w:type="dxa"/>
            <w:tcBorders>
              <w:top w:val="nil"/>
              <w:left w:val="nil"/>
              <w:bottom w:val="single" w:sz="4" w:space="0" w:color="auto"/>
              <w:right w:val="single" w:sz="4" w:space="0" w:color="auto"/>
            </w:tcBorders>
            <w:shd w:val="clear" w:color="auto" w:fill="auto"/>
            <w:noWrap/>
            <w:vAlign w:val="center"/>
            <w:hideMark/>
          </w:tcPr>
          <w:p w14:paraId="1A5647D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66.97%</w:t>
            </w:r>
          </w:p>
        </w:tc>
        <w:tc>
          <w:tcPr>
            <w:tcW w:w="1941" w:type="dxa"/>
            <w:tcBorders>
              <w:top w:val="nil"/>
              <w:left w:val="nil"/>
              <w:bottom w:val="single" w:sz="4" w:space="0" w:color="auto"/>
              <w:right w:val="single" w:sz="4" w:space="0" w:color="auto"/>
            </w:tcBorders>
            <w:shd w:val="clear" w:color="auto" w:fill="auto"/>
            <w:noWrap/>
            <w:vAlign w:val="center"/>
            <w:hideMark/>
          </w:tcPr>
          <w:p w14:paraId="7B0DD246"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62.92%</w:t>
            </w:r>
          </w:p>
        </w:tc>
        <w:tc>
          <w:tcPr>
            <w:tcW w:w="1712" w:type="dxa"/>
            <w:tcBorders>
              <w:top w:val="nil"/>
              <w:left w:val="nil"/>
              <w:bottom w:val="single" w:sz="4" w:space="0" w:color="auto"/>
              <w:right w:val="single" w:sz="4" w:space="0" w:color="auto"/>
            </w:tcBorders>
            <w:shd w:val="clear" w:color="auto" w:fill="auto"/>
            <w:vAlign w:val="center"/>
            <w:hideMark/>
          </w:tcPr>
          <w:p w14:paraId="5C48BBAE"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62.85%</w:t>
            </w:r>
          </w:p>
        </w:tc>
        <w:tc>
          <w:tcPr>
            <w:tcW w:w="1770" w:type="dxa"/>
            <w:tcBorders>
              <w:top w:val="nil"/>
              <w:left w:val="nil"/>
              <w:bottom w:val="single" w:sz="4" w:space="0" w:color="auto"/>
              <w:right w:val="single" w:sz="8" w:space="0" w:color="auto"/>
            </w:tcBorders>
            <w:shd w:val="clear" w:color="auto" w:fill="auto"/>
            <w:vAlign w:val="center"/>
            <w:hideMark/>
          </w:tcPr>
          <w:p w14:paraId="6D54E83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62.98%</w:t>
            </w:r>
          </w:p>
        </w:tc>
      </w:tr>
      <w:tr w:rsidR="004B22CD" w:rsidRPr="0085077C" w14:paraId="23DD6242" w14:textId="77777777" w:rsidTr="00DE0218">
        <w:trPr>
          <w:trHeight w:val="233"/>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0B2CEE5F"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Age at last echo (years)</w:t>
            </w:r>
          </w:p>
        </w:tc>
        <w:tc>
          <w:tcPr>
            <w:tcW w:w="1571" w:type="dxa"/>
            <w:tcBorders>
              <w:top w:val="nil"/>
              <w:left w:val="nil"/>
              <w:bottom w:val="single" w:sz="4" w:space="0" w:color="auto"/>
              <w:right w:val="single" w:sz="4" w:space="0" w:color="auto"/>
            </w:tcBorders>
            <w:shd w:val="clear" w:color="auto" w:fill="auto"/>
            <w:noWrap/>
            <w:vAlign w:val="center"/>
            <w:hideMark/>
          </w:tcPr>
          <w:p w14:paraId="55C170C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72.24 ± 14.20</w:t>
            </w:r>
          </w:p>
        </w:tc>
        <w:tc>
          <w:tcPr>
            <w:tcW w:w="1941" w:type="dxa"/>
            <w:tcBorders>
              <w:top w:val="nil"/>
              <w:left w:val="nil"/>
              <w:bottom w:val="single" w:sz="4" w:space="0" w:color="auto"/>
              <w:right w:val="single" w:sz="4" w:space="0" w:color="auto"/>
            </w:tcBorders>
            <w:shd w:val="clear" w:color="auto" w:fill="auto"/>
            <w:noWrap/>
            <w:vAlign w:val="center"/>
            <w:hideMark/>
          </w:tcPr>
          <w:p w14:paraId="791059F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77.57 ± 11.82</w:t>
            </w:r>
          </w:p>
        </w:tc>
        <w:tc>
          <w:tcPr>
            <w:tcW w:w="1712" w:type="dxa"/>
            <w:tcBorders>
              <w:top w:val="nil"/>
              <w:left w:val="nil"/>
              <w:bottom w:val="single" w:sz="4" w:space="0" w:color="auto"/>
              <w:right w:val="single" w:sz="4" w:space="0" w:color="auto"/>
            </w:tcBorders>
            <w:shd w:val="clear" w:color="auto" w:fill="auto"/>
            <w:vAlign w:val="center"/>
            <w:hideMark/>
          </w:tcPr>
          <w:p w14:paraId="0357F9C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76.32 ± 11.66</w:t>
            </w:r>
          </w:p>
        </w:tc>
        <w:tc>
          <w:tcPr>
            <w:tcW w:w="1770" w:type="dxa"/>
            <w:tcBorders>
              <w:top w:val="nil"/>
              <w:left w:val="nil"/>
              <w:bottom w:val="single" w:sz="4" w:space="0" w:color="auto"/>
              <w:right w:val="single" w:sz="8" w:space="0" w:color="auto"/>
            </w:tcBorders>
            <w:shd w:val="clear" w:color="auto" w:fill="auto"/>
            <w:vAlign w:val="center"/>
            <w:hideMark/>
          </w:tcPr>
          <w:p w14:paraId="6115FED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78.67 ± 11.86</w:t>
            </w:r>
          </w:p>
        </w:tc>
      </w:tr>
      <w:tr w:rsidR="004B22CD" w:rsidRPr="0085077C" w14:paraId="6487A4D1" w14:textId="77777777" w:rsidTr="00DE0218">
        <w:trPr>
          <w:trHeight w:val="233"/>
          <w:jc w:val="center"/>
        </w:trPr>
        <w:tc>
          <w:tcPr>
            <w:tcW w:w="4700" w:type="dxa"/>
            <w:tcBorders>
              <w:top w:val="nil"/>
              <w:left w:val="single" w:sz="8" w:space="0" w:color="auto"/>
              <w:bottom w:val="single" w:sz="8" w:space="0" w:color="auto"/>
              <w:right w:val="single" w:sz="4" w:space="0" w:color="auto"/>
            </w:tcBorders>
            <w:shd w:val="clear" w:color="auto" w:fill="auto"/>
            <w:vAlign w:val="center"/>
            <w:hideMark/>
          </w:tcPr>
          <w:p w14:paraId="7F0F38A4"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BMI (kg/m</w:t>
            </w:r>
            <w:r w:rsidRPr="004B22CD">
              <w:rPr>
                <w:rFonts w:eastAsia="Times New Roman" w:cstheme="minorHAnsi"/>
                <w:color w:val="000000"/>
                <w:sz w:val="20"/>
                <w:szCs w:val="20"/>
                <w:vertAlign w:val="superscript"/>
                <w:lang w:eastAsia="en-GB"/>
              </w:rPr>
              <w:t>2</w:t>
            </w:r>
            <w:r w:rsidRPr="004B22CD">
              <w:rPr>
                <w:rFonts w:eastAsia="Times New Roman" w:cstheme="minorHAnsi"/>
                <w:color w:val="000000"/>
                <w:lang w:eastAsia="en-GB"/>
              </w:rPr>
              <w:t>)</w:t>
            </w:r>
          </w:p>
        </w:tc>
        <w:tc>
          <w:tcPr>
            <w:tcW w:w="1571" w:type="dxa"/>
            <w:tcBorders>
              <w:top w:val="nil"/>
              <w:left w:val="nil"/>
              <w:bottom w:val="single" w:sz="8" w:space="0" w:color="auto"/>
              <w:right w:val="single" w:sz="4" w:space="0" w:color="auto"/>
            </w:tcBorders>
            <w:shd w:val="clear" w:color="auto" w:fill="auto"/>
            <w:noWrap/>
            <w:vAlign w:val="center"/>
            <w:hideMark/>
          </w:tcPr>
          <w:p w14:paraId="05FCF46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29.43 ± 6.80</w:t>
            </w:r>
          </w:p>
        </w:tc>
        <w:tc>
          <w:tcPr>
            <w:tcW w:w="1941" w:type="dxa"/>
            <w:tcBorders>
              <w:top w:val="nil"/>
              <w:left w:val="nil"/>
              <w:bottom w:val="single" w:sz="8" w:space="0" w:color="auto"/>
              <w:right w:val="single" w:sz="4" w:space="0" w:color="auto"/>
            </w:tcBorders>
            <w:shd w:val="clear" w:color="auto" w:fill="auto"/>
            <w:noWrap/>
            <w:vAlign w:val="center"/>
            <w:hideMark/>
          </w:tcPr>
          <w:p w14:paraId="5438BA9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28.74 ± 6.29</w:t>
            </w:r>
          </w:p>
        </w:tc>
        <w:tc>
          <w:tcPr>
            <w:tcW w:w="1712" w:type="dxa"/>
            <w:tcBorders>
              <w:top w:val="nil"/>
              <w:left w:val="nil"/>
              <w:bottom w:val="single" w:sz="8" w:space="0" w:color="auto"/>
              <w:right w:val="single" w:sz="4" w:space="0" w:color="auto"/>
            </w:tcBorders>
            <w:shd w:val="clear" w:color="auto" w:fill="auto"/>
            <w:vAlign w:val="center"/>
            <w:hideMark/>
          </w:tcPr>
          <w:p w14:paraId="1F5BA613"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29.28 ± 6.35</w:t>
            </w:r>
          </w:p>
        </w:tc>
        <w:tc>
          <w:tcPr>
            <w:tcW w:w="1770" w:type="dxa"/>
            <w:tcBorders>
              <w:top w:val="nil"/>
              <w:left w:val="nil"/>
              <w:bottom w:val="single" w:sz="8" w:space="0" w:color="auto"/>
              <w:right w:val="single" w:sz="8" w:space="0" w:color="auto"/>
            </w:tcBorders>
            <w:shd w:val="clear" w:color="auto" w:fill="auto"/>
            <w:vAlign w:val="center"/>
            <w:hideMark/>
          </w:tcPr>
          <w:p w14:paraId="19FEF19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28.28 ± 6.20</w:t>
            </w:r>
          </w:p>
        </w:tc>
      </w:tr>
      <w:tr w:rsidR="004B22CD" w:rsidRPr="0085077C" w14:paraId="7B1F6659" w14:textId="77777777" w:rsidTr="00DE0218">
        <w:trPr>
          <w:trHeight w:val="233"/>
          <w:jc w:val="center"/>
        </w:trPr>
        <w:tc>
          <w:tcPr>
            <w:tcW w:w="1169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2CADA24" w14:textId="77777777" w:rsidR="004B22CD" w:rsidRPr="004B22CD" w:rsidRDefault="004B22CD" w:rsidP="00DE0218">
            <w:pPr>
              <w:spacing w:after="0" w:line="240" w:lineRule="auto"/>
              <w:rPr>
                <w:rFonts w:eastAsia="Times New Roman" w:cstheme="minorHAnsi"/>
                <w:b/>
                <w:bCs/>
                <w:color w:val="000000"/>
                <w:lang w:eastAsia="en-GB"/>
              </w:rPr>
            </w:pPr>
            <w:r w:rsidRPr="004B22CD">
              <w:rPr>
                <w:rFonts w:eastAsia="Times New Roman" w:cstheme="minorHAnsi"/>
                <w:b/>
                <w:bCs/>
                <w:color w:val="000000"/>
                <w:lang w:eastAsia="en-GB"/>
              </w:rPr>
              <w:t>LV Dimensions/Function</w:t>
            </w:r>
            <w:r w:rsidRPr="004B22CD">
              <w:rPr>
                <w:rFonts w:eastAsia="Times New Roman" w:cstheme="minorHAnsi"/>
                <w:color w:val="000000"/>
                <w:lang w:eastAsia="en-GB"/>
              </w:rPr>
              <w:t> </w:t>
            </w:r>
          </w:p>
        </w:tc>
      </w:tr>
      <w:tr w:rsidR="004B22CD" w:rsidRPr="0085077C" w14:paraId="6B3A50FC"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7EA66B46"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IV Septal thickness</w:t>
            </w:r>
          </w:p>
        </w:tc>
        <w:tc>
          <w:tcPr>
            <w:tcW w:w="1571" w:type="dxa"/>
            <w:tcBorders>
              <w:top w:val="nil"/>
              <w:left w:val="nil"/>
              <w:bottom w:val="single" w:sz="4" w:space="0" w:color="auto"/>
              <w:right w:val="single" w:sz="4" w:space="0" w:color="auto"/>
            </w:tcBorders>
            <w:shd w:val="clear" w:color="auto" w:fill="auto"/>
            <w:noWrap/>
            <w:vAlign w:val="center"/>
            <w:hideMark/>
          </w:tcPr>
          <w:p w14:paraId="516E61E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1.62 ± 0.22</w:t>
            </w:r>
          </w:p>
        </w:tc>
        <w:tc>
          <w:tcPr>
            <w:tcW w:w="1941" w:type="dxa"/>
            <w:tcBorders>
              <w:top w:val="nil"/>
              <w:left w:val="nil"/>
              <w:bottom w:val="single" w:sz="4" w:space="0" w:color="auto"/>
              <w:right w:val="single" w:sz="4" w:space="0" w:color="auto"/>
            </w:tcBorders>
            <w:shd w:val="clear" w:color="auto" w:fill="auto"/>
            <w:noWrap/>
            <w:vAlign w:val="center"/>
            <w:hideMark/>
          </w:tcPr>
          <w:p w14:paraId="12ADBB8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1.62 ± 0.19</w:t>
            </w:r>
          </w:p>
        </w:tc>
        <w:tc>
          <w:tcPr>
            <w:tcW w:w="1712" w:type="dxa"/>
            <w:tcBorders>
              <w:top w:val="nil"/>
              <w:left w:val="nil"/>
              <w:bottom w:val="single" w:sz="4" w:space="0" w:color="auto"/>
              <w:right w:val="single" w:sz="4" w:space="0" w:color="auto"/>
            </w:tcBorders>
            <w:shd w:val="clear" w:color="auto" w:fill="auto"/>
            <w:vAlign w:val="center"/>
            <w:hideMark/>
          </w:tcPr>
          <w:p w14:paraId="2E00B64A"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1.62 ± 0.19</w:t>
            </w:r>
          </w:p>
        </w:tc>
        <w:tc>
          <w:tcPr>
            <w:tcW w:w="1770" w:type="dxa"/>
            <w:tcBorders>
              <w:top w:val="nil"/>
              <w:left w:val="nil"/>
              <w:bottom w:val="single" w:sz="4" w:space="0" w:color="auto"/>
              <w:right w:val="single" w:sz="8" w:space="0" w:color="auto"/>
            </w:tcBorders>
            <w:shd w:val="clear" w:color="auto" w:fill="auto"/>
            <w:vAlign w:val="center"/>
            <w:hideMark/>
          </w:tcPr>
          <w:p w14:paraId="6C5DF2D9"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1.62 ± 0.19</w:t>
            </w:r>
          </w:p>
        </w:tc>
      </w:tr>
      <w:tr w:rsidR="004B22CD" w:rsidRPr="0085077C" w14:paraId="22E5634D"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3741D1F4" w14:textId="593D1E4B"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 xml:space="preserve">IV Septal thickness </w:t>
            </w:r>
            <w:r w:rsidR="007D5C93" w:rsidRPr="004B22CD">
              <w:rPr>
                <w:rFonts w:cstheme="minorHAnsi"/>
                <w:sz w:val="24"/>
                <w:szCs w:val="24"/>
              </w:rPr>
              <w:t>≥</w:t>
            </w:r>
            <w:r w:rsidRPr="004B22CD">
              <w:rPr>
                <w:rFonts w:eastAsia="Times New Roman" w:cstheme="minorHAnsi"/>
                <w:color w:val="000000"/>
                <w:lang w:eastAsia="en-GB"/>
              </w:rPr>
              <w:t>15mm %</w:t>
            </w:r>
          </w:p>
        </w:tc>
        <w:tc>
          <w:tcPr>
            <w:tcW w:w="1571" w:type="dxa"/>
            <w:tcBorders>
              <w:top w:val="nil"/>
              <w:left w:val="nil"/>
              <w:bottom w:val="single" w:sz="4" w:space="0" w:color="auto"/>
              <w:right w:val="single" w:sz="4" w:space="0" w:color="auto"/>
            </w:tcBorders>
            <w:shd w:val="clear" w:color="auto" w:fill="auto"/>
            <w:noWrap/>
            <w:vAlign w:val="center"/>
            <w:hideMark/>
          </w:tcPr>
          <w:p w14:paraId="73204199"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90.74%</w:t>
            </w:r>
          </w:p>
        </w:tc>
        <w:tc>
          <w:tcPr>
            <w:tcW w:w="1941" w:type="dxa"/>
            <w:tcBorders>
              <w:top w:val="nil"/>
              <w:left w:val="nil"/>
              <w:bottom w:val="single" w:sz="4" w:space="0" w:color="auto"/>
              <w:right w:val="single" w:sz="4" w:space="0" w:color="auto"/>
            </w:tcBorders>
            <w:shd w:val="clear" w:color="auto" w:fill="auto"/>
            <w:noWrap/>
            <w:vAlign w:val="center"/>
            <w:hideMark/>
          </w:tcPr>
          <w:p w14:paraId="3781811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93.28%</w:t>
            </w:r>
          </w:p>
        </w:tc>
        <w:tc>
          <w:tcPr>
            <w:tcW w:w="1712" w:type="dxa"/>
            <w:tcBorders>
              <w:top w:val="nil"/>
              <w:left w:val="nil"/>
              <w:bottom w:val="single" w:sz="4" w:space="0" w:color="auto"/>
              <w:right w:val="single" w:sz="4" w:space="0" w:color="auto"/>
            </w:tcBorders>
            <w:shd w:val="clear" w:color="auto" w:fill="auto"/>
            <w:vAlign w:val="center"/>
            <w:hideMark/>
          </w:tcPr>
          <w:p w14:paraId="7E43438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93.71%</w:t>
            </w:r>
          </w:p>
        </w:tc>
        <w:tc>
          <w:tcPr>
            <w:tcW w:w="1770" w:type="dxa"/>
            <w:tcBorders>
              <w:top w:val="nil"/>
              <w:left w:val="nil"/>
              <w:bottom w:val="single" w:sz="4" w:space="0" w:color="auto"/>
              <w:right w:val="single" w:sz="8" w:space="0" w:color="auto"/>
            </w:tcBorders>
            <w:shd w:val="clear" w:color="auto" w:fill="auto"/>
            <w:vAlign w:val="center"/>
            <w:hideMark/>
          </w:tcPr>
          <w:p w14:paraId="75824D88"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92.89%</w:t>
            </w:r>
          </w:p>
        </w:tc>
      </w:tr>
      <w:tr w:rsidR="004B22CD" w:rsidRPr="0085077C" w14:paraId="5EB0F64D"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551F556A"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 Posterior Wall Dimensions</w:t>
            </w:r>
          </w:p>
        </w:tc>
        <w:tc>
          <w:tcPr>
            <w:tcW w:w="1571" w:type="dxa"/>
            <w:tcBorders>
              <w:top w:val="nil"/>
              <w:left w:val="nil"/>
              <w:bottom w:val="single" w:sz="4" w:space="0" w:color="auto"/>
              <w:right w:val="single" w:sz="4" w:space="0" w:color="auto"/>
            </w:tcBorders>
            <w:shd w:val="clear" w:color="auto" w:fill="auto"/>
            <w:noWrap/>
            <w:vAlign w:val="center"/>
            <w:hideMark/>
          </w:tcPr>
          <w:p w14:paraId="2E1CB88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1.34 ± 0.29</w:t>
            </w:r>
          </w:p>
        </w:tc>
        <w:tc>
          <w:tcPr>
            <w:tcW w:w="1941" w:type="dxa"/>
            <w:tcBorders>
              <w:top w:val="nil"/>
              <w:left w:val="nil"/>
              <w:bottom w:val="single" w:sz="4" w:space="0" w:color="auto"/>
              <w:right w:val="single" w:sz="4" w:space="0" w:color="auto"/>
            </w:tcBorders>
            <w:shd w:val="clear" w:color="auto" w:fill="auto"/>
            <w:noWrap/>
            <w:vAlign w:val="center"/>
            <w:hideMark/>
          </w:tcPr>
          <w:p w14:paraId="1EE0A21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1.41 ± 0.25</w:t>
            </w:r>
          </w:p>
        </w:tc>
        <w:tc>
          <w:tcPr>
            <w:tcW w:w="1712" w:type="dxa"/>
            <w:tcBorders>
              <w:top w:val="nil"/>
              <w:left w:val="nil"/>
              <w:bottom w:val="single" w:sz="4" w:space="0" w:color="auto"/>
              <w:right w:val="single" w:sz="4" w:space="0" w:color="auto"/>
            </w:tcBorders>
            <w:shd w:val="clear" w:color="auto" w:fill="auto"/>
            <w:vAlign w:val="center"/>
            <w:hideMark/>
          </w:tcPr>
          <w:p w14:paraId="2AB5F31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1.39 ± 0.25</w:t>
            </w:r>
          </w:p>
        </w:tc>
        <w:tc>
          <w:tcPr>
            <w:tcW w:w="1770" w:type="dxa"/>
            <w:tcBorders>
              <w:top w:val="nil"/>
              <w:left w:val="nil"/>
              <w:bottom w:val="single" w:sz="4" w:space="0" w:color="auto"/>
              <w:right w:val="single" w:sz="8" w:space="0" w:color="auto"/>
            </w:tcBorders>
            <w:shd w:val="clear" w:color="auto" w:fill="auto"/>
            <w:vAlign w:val="center"/>
            <w:hideMark/>
          </w:tcPr>
          <w:p w14:paraId="213A8FF2"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1.43 ± 0.24</w:t>
            </w:r>
          </w:p>
        </w:tc>
      </w:tr>
      <w:tr w:rsidR="004B22CD" w:rsidRPr="0085077C" w14:paraId="11628493"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45E5DB70" w14:textId="734A842B"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 xml:space="preserve">LV Posterior Wall Dimensions </w:t>
            </w:r>
            <w:r w:rsidR="007D5C93" w:rsidRPr="004B22CD">
              <w:rPr>
                <w:rFonts w:cstheme="minorHAnsi"/>
                <w:sz w:val="24"/>
                <w:szCs w:val="24"/>
              </w:rPr>
              <w:t>≥</w:t>
            </w:r>
            <w:r w:rsidRPr="004B22CD">
              <w:rPr>
                <w:rFonts w:eastAsia="Times New Roman" w:cstheme="minorHAnsi"/>
                <w:color w:val="000000"/>
                <w:lang w:eastAsia="en-GB"/>
              </w:rPr>
              <w:t>15mm %</w:t>
            </w:r>
          </w:p>
        </w:tc>
        <w:tc>
          <w:tcPr>
            <w:tcW w:w="1571" w:type="dxa"/>
            <w:tcBorders>
              <w:top w:val="nil"/>
              <w:left w:val="nil"/>
              <w:bottom w:val="single" w:sz="4" w:space="0" w:color="auto"/>
              <w:right w:val="single" w:sz="4" w:space="0" w:color="auto"/>
            </w:tcBorders>
            <w:shd w:val="clear" w:color="auto" w:fill="auto"/>
            <w:noWrap/>
            <w:vAlign w:val="center"/>
            <w:hideMark/>
          </w:tcPr>
          <w:p w14:paraId="1E202E02"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37.40%</w:t>
            </w:r>
          </w:p>
        </w:tc>
        <w:tc>
          <w:tcPr>
            <w:tcW w:w="1941" w:type="dxa"/>
            <w:tcBorders>
              <w:top w:val="nil"/>
              <w:left w:val="nil"/>
              <w:bottom w:val="single" w:sz="4" w:space="0" w:color="auto"/>
              <w:right w:val="single" w:sz="4" w:space="0" w:color="auto"/>
            </w:tcBorders>
            <w:shd w:val="clear" w:color="auto" w:fill="auto"/>
            <w:noWrap/>
            <w:vAlign w:val="center"/>
            <w:hideMark/>
          </w:tcPr>
          <w:p w14:paraId="5391BFC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52.94%</w:t>
            </w:r>
          </w:p>
        </w:tc>
        <w:tc>
          <w:tcPr>
            <w:tcW w:w="1712" w:type="dxa"/>
            <w:tcBorders>
              <w:top w:val="nil"/>
              <w:left w:val="nil"/>
              <w:bottom w:val="single" w:sz="4" w:space="0" w:color="auto"/>
              <w:right w:val="single" w:sz="4" w:space="0" w:color="auto"/>
            </w:tcBorders>
            <w:shd w:val="clear" w:color="auto" w:fill="auto"/>
            <w:vAlign w:val="center"/>
            <w:hideMark/>
          </w:tcPr>
          <w:p w14:paraId="1977AA03"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48.87%</w:t>
            </w:r>
          </w:p>
        </w:tc>
        <w:tc>
          <w:tcPr>
            <w:tcW w:w="1770" w:type="dxa"/>
            <w:tcBorders>
              <w:top w:val="nil"/>
              <w:left w:val="nil"/>
              <w:bottom w:val="single" w:sz="4" w:space="0" w:color="auto"/>
              <w:right w:val="single" w:sz="8" w:space="0" w:color="auto"/>
            </w:tcBorders>
            <w:shd w:val="clear" w:color="auto" w:fill="auto"/>
            <w:vAlign w:val="center"/>
            <w:hideMark/>
          </w:tcPr>
          <w:p w14:paraId="1EC1F1B6"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56.53%</w:t>
            </w:r>
          </w:p>
        </w:tc>
      </w:tr>
      <w:tr w:rsidR="004B22CD" w:rsidRPr="0085077C" w14:paraId="6BDBD2CF"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0B84AA63"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 diastolic diameter</w:t>
            </w:r>
          </w:p>
        </w:tc>
        <w:tc>
          <w:tcPr>
            <w:tcW w:w="1571" w:type="dxa"/>
            <w:tcBorders>
              <w:top w:val="nil"/>
              <w:left w:val="nil"/>
              <w:bottom w:val="single" w:sz="4" w:space="0" w:color="auto"/>
              <w:right w:val="single" w:sz="4" w:space="0" w:color="auto"/>
            </w:tcBorders>
            <w:shd w:val="clear" w:color="auto" w:fill="auto"/>
            <w:noWrap/>
            <w:vAlign w:val="center"/>
            <w:hideMark/>
          </w:tcPr>
          <w:p w14:paraId="7B89472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4.47 ± 0.78</w:t>
            </w:r>
          </w:p>
        </w:tc>
        <w:tc>
          <w:tcPr>
            <w:tcW w:w="1941" w:type="dxa"/>
            <w:tcBorders>
              <w:top w:val="nil"/>
              <w:left w:val="nil"/>
              <w:bottom w:val="single" w:sz="4" w:space="0" w:color="auto"/>
              <w:right w:val="single" w:sz="4" w:space="0" w:color="auto"/>
            </w:tcBorders>
            <w:shd w:val="clear" w:color="auto" w:fill="auto"/>
            <w:noWrap/>
            <w:vAlign w:val="center"/>
            <w:hideMark/>
          </w:tcPr>
          <w:p w14:paraId="5C7C2718"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4.57 ± 0.78</w:t>
            </w:r>
          </w:p>
        </w:tc>
        <w:tc>
          <w:tcPr>
            <w:tcW w:w="1712" w:type="dxa"/>
            <w:tcBorders>
              <w:top w:val="nil"/>
              <w:left w:val="nil"/>
              <w:bottom w:val="single" w:sz="4" w:space="0" w:color="auto"/>
              <w:right w:val="single" w:sz="4" w:space="0" w:color="auto"/>
            </w:tcBorders>
            <w:shd w:val="clear" w:color="auto" w:fill="auto"/>
            <w:vAlign w:val="center"/>
            <w:hideMark/>
          </w:tcPr>
          <w:p w14:paraId="21F4A1E8"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4.54 ± 0.77</w:t>
            </w:r>
          </w:p>
        </w:tc>
        <w:tc>
          <w:tcPr>
            <w:tcW w:w="1770" w:type="dxa"/>
            <w:tcBorders>
              <w:top w:val="nil"/>
              <w:left w:val="nil"/>
              <w:bottom w:val="single" w:sz="4" w:space="0" w:color="auto"/>
              <w:right w:val="single" w:sz="8" w:space="0" w:color="auto"/>
            </w:tcBorders>
            <w:shd w:val="clear" w:color="auto" w:fill="auto"/>
            <w:vAlign w:val="center"/>
            <w:hideMark/>
          </w:tcPr>
          <w:p w14:paraId="40F4011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4.59 ± 0.79</w:t>
            </w:r>
          </w:p>
        </w:tc>
      </w:tr>
      <w:tr w:rsidR="004B22CD" w:rsidRPr="0085077C" w14:paraId="5B239292"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6B333327"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 diastolic diameter &lt;5.5cm %</w:t>
            </w:r>
          </w:p>
        </w:tc>
        <w:tc>
          <w:tcPr>
            <w:tcW w:w="1571" w:type="dxa"/>
            <w:tcBorders>
              <w:top w:val="nil"/>
              <w:left w:val="nil"/>
              <w:bottom w:val="single" w:sz="4" w:space="0" w:color="auto"/>
              <w:right w:val="single" w:sz="4" w:space="0" w:color="auto"/>
            </w:tcBorders>
            <w:shd w:val="clear" w:color="auto" w:fill="auto"/>
            <w:noWrap/>
            <w:vAlign w:val="center"/>
            <w:hideMark/>
          </w:tcPr>
          <w:p w14:paraId="263E44F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89.81%</w:t>
            </w:r>
          </w:p>
        </w:tc>
        <w:tc>
          <w:tcPr>
            <w:tcW w:w="1941" w:type="dxa"/>
            <w:tcBorders>
              <w:top w:val="nil"/>
              <w:left w:val="nil"/>
              <w:bottom w:val="single" w:sz="4" w:space="0" w:color="auto"/>
              <w:right w:val="single" w:sz="4" w:space="0" w:color="auto"/>
            </w:tcBorders>
            <w:shd w:val="clear" w:color="auto" w:fill="auto"/>
            <w:noWrap/>
            <w:vAlign w:val="center"/>
            <w:hideMark/>
          </w:tcPr>
          <w:p w14:paraId="3DE9BEC8"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86.47%</w:t>
            </w:r>
          </w:p>
        </w:tc>
        <w:tc>
          <w:tcPr>
            <w:tcW w:w="1712" w:type="dxa"/>
            <w:tcBorders>
              <w:top w:val="nil"/>
              <w:left w:val="nil"/>
              <w:bottom w:val="single" w:sz="4" w:space="0" w:color="auto"/>
              <w:right w:val="single" w:sz="4" w:space="0" w:color="auto"/>
            </w:tcBorders>
            <w:shd w:val="clear" w:color="auto" w:fill="auto"/>
            <w:vAlign w:val="center"/>
            <w:hideMark/>
          </w:tcPr>
          <w:p w14:paraId="4B48D7D2"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87.24%</w:t>
            </w:r>
          </w:p>
        </w:tc>
        <w:tc>
          <w:tcPr>
            <w:tcW w:w="1770" w:type="dxa"/>
            <w:tcBorders>
              <w:top w:val="nil"/>
              <w:left w:val="nil"/>
              <w:bottom w:val="single" w:sz="4" w:space="0" w:color="auto"/>
              <w:right w:val="single" w:sz="8" w:space="0" w:color="auto"/>
            </w:tcBorders>
            <w:shd w:val="clear" w:color="auto" w:fill="auto"/>
            <w:vAlign w:val="center"/>
            <w:hideMark/>
          </w:tcPr>
          <w:p w14:paraId="448C72F9"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85.79%</w:t>
            </w:r>
          </w:p>
        </w:tc>
      </w:tr>
      <w:tr w:rsidR="004B22CD" w:rsidRPr="0085077C" w14:paraId="0E01A086"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7EBADC41"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Septal to Posterior Wall Ratio</w:t>
            </w:r>
          </w:p>
        </w:tc>
        <w:tc>
          <w:tcPr>
            <w:tcW w:w="1571" w:type="dxa"/>
            <w:tcBorders>
              <w:top w:val="nil"/>
              <w:left w:val="nil"/>
              <w:bottom w:val="single" w:sz="4" w:space="0" w:color="auto"/>
              <w:right w:val="single" w:sz="4" w:space="0" w:color="auto"/>
            </w:tcBorders>
            <w:shd w:val="clear" w:color="auto" w:fill="auto"/>
            <w:noWrap/>
            <w:vAlign w:val="center"/>
            <w:hideMark/>
          </w:tcPr>
          <w:p w14:paraId="61A0950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1.28 ± 0.39</w:t>
            </w:r>
          </w:p>
        </w:tc>
        <w:tc>
          <w:tcPr>
            <w:tcW w:w="1941" w:type="dxa"/>
            <w:tcBorders>
              <w:top w:val="nil"/>
              <w:left w:val="nil"/>
              <w:bottom w:val="single" w:sz="4" w:space="0" w:color="auto"/>
              <w:right w:val="single" w:sz="4" w:space="0" w:color="auto"/>
            </w:tcBorders>
            <w:shd w:val="clear" w:color="auto" w:fill="auto"/>
            <w:noWrap/>
            <w:vAlign w:val="center"/>
            <w:hideMark/>
          </w:tcPr>
          <w:p w14:paraId="68834C92"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1.19 ± 0.31</w:t>
            </w:r>
          </w:p>
        </w:tc>
        <w:tc>
          <w:tcPr>
            <w:tcW w:w="1712" w:type="dxa"/>
            <w:tcBorders>
              <w:top w:val="nil"/>
              <w:left w:val="nil"/>
              <w:bottom w:val="single" w:sz="4" w:space="0" w:color="auto"/>
              <w:right w:val="single" w:sz="4" w:space="0" w:color="auto"/>
            </w:tcBorders>
            <w:shd w:val="clear" w:color="auto" w:fill="auto"/>
            <w:vAlign w:val="center"/>
            <w:hideMark/>
          </w:tcPr>
          <w:p w14:paraId="101D5B0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1.21 ± 0.32</w:t>
            </w:r>
          </w:p>
        </w:tc>
        <w:tc>
          <w:tcPr>
            <w:tcW w:w="1770" w:type="dxa"/>
            <w:tcBorders>
              <w:top w:val="nil"/>
              <w:left w:val="nil"/>
              <w:bottom w:val="single" w:sz="4" w:space="0" w:color="auto"/>
              <w:right w:val="single" w:sz="8" w:space="0" w:color="auto"/>
            </w:tcBorders>
            <w:shd w:val="clear" w:color="auto" w:fill="auto"/>
            <w:vAlign w:val="center"/>
            <w:hideMark/>
          </w:tcPr>
          <w:p w14:paraId="5138E04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1.18 ± 0.31</w:t>
            </w:r>
          </w:p>
        </w:tc>
      </w:tr>
      <w:tr w:rsidR="004B22CD" w:rsidRPr="0085077C" w14:paraId="07933F4B"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6F77F125"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Septal to Posterior Wall Ratio &gt;1.3 %</w:t>
            </w:r>
          </w:p>
        </w:tc>
        <w:tc>
          <w:tcPr>
            <w:tcW w:w="1571" w:type="dxa"/>
            <w:tcBorders>
              <w:top w:val="nil"/>
              <w:left w:val="nil"/>
              <w:bottom w:val="single" w:sz="4" w:space="0" w:color="auto"/>
              <w:right w:val="single" w:sz="4" w:space="0" w:color="auto"/>
            </w:tcBorders>
            <w:shd w:val="clear" w:color="auto" w:fill="auto"/>
            <w:noWrap/>
            <w:vAlign w:val="center"/>
            <w:hideMark/>
          </w:tcPr>
          <w:p w14:paraId="676B08A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38.05%</w:t>
            </w:r>
          </w:p>
        </w:tc>
        <w:tc>
          <w:tcPr>
            <w:tcW w:w="1941" w:type="dxa"/>
            <w:tcBorders>
              <w:top w:val="nil"/>
              <w:left w:val="nil"/>
              <w:bottom w:val="single" w:sz="4" w:space="0" w:color="auto"/>
              <w:right w:val="single" w:sz="4" w:space="0" w:color="auto"/>
            </w:tcBorders>
            <w:shd w:val="clear" w:color="auto" w:fill="auto"/>
            <w:noWrap/>
            <w:vAlign w:val="center"/>
            <w:hideMark/>
          </w:tcPr>
          <w:p w14:paraId="1038FF5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25.66%</w:t>
            </w:r>
          </w:p>
        </w:tc>
        <w:tc>
          <w:tcPr>
            <w:tcW w:w="1712" w:type="dxa"/>
            <w:tcBorders>
              <w:top w:val="nil"/>
              <w:left w:val="nil"/>
              <w:bottom w:val="single" w:sz="4" w:space="0" w:color="auto"/>
              <w:right w:val="single" w:sz="4" w:space="0" w:color="auto"/>
            </w:tcBorders>
            <w:shd w:val="clear" w:color="auto" w:fill="auto"/>
            <w:vAlign w:val="center"/>
            <w:hideMark/>
          </w:tcPr>
          <w:p w14:paraId="75A75C7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28.14%</w:t>
            </w:r>
          </w:p>
        </w:tc>
        <w:tc>
          <w:tcPr>
            <w:tcW w:w="1770" w:type="dxa"/>
            <w:tcBorders>
              <w:top w:val="nil"/>
              <w:left w:val="nil"/>
              <w:bottom w:val="single" w:sz="4" w:space="0" w:color="auto"/>
              <w:right w:val="single" w:sz="8" w:space="0" w:color="auto"/>
            </w:tcBorders>
            <w:shd w:val="clear" w:color="auto" w:fill="auto"/>
            <w:vAlign w:val="center"/>
            <w:hideMark/>
          </w:tcPr>
          <w:p w14:paraId="3092B76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23.47%</w:t>
            </w:r>
          </w:p>
        </w:tc>
      </w:tr>
      <w:tr w:rsidR="004B22CD" w:rsidRPr="0085077C" w14:paraId="2A005050"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36EFD54C" w14:textId="547F68C4" w:rsidR="004B22CD" w:rsidRPr="004B22CD" w:rsidRDefault="004B22CD" w:rsidP="004B22CD">
            <w:pPr>
              <w:spacing w:after="0" w:line="240" w:lineRule="auto"/>
              <w:rPr>
                <w:rFonts w:eastAsia="Times New Roman" w:cstheme="minorHAnsi"/>
                <w:color w:val="000000"/>
                <w:highlight w:val="yellow"/>
                <w:lang w:eastAsia="en-GB"/>
              </w:rPr>
            </w:pPr>
            <w:r w:rsidRPr="004B22CD">
              <w:rPr>
                <w:rFonts w:cstheme="minorHAnsi"/>
                <w:color w:val="000000"/>
              </w:rPr>
              <w:t>LVOT/AV Peak Gradient*</w:t>
            </w:r>
          </w:p>
        </w:tc>
        <w:tc>
          <w:tcPr>
            <w:tcW w:w="1571" w:type="dxa"/>
            <w:tcBorders>
              <w:top w:val="nil"/>
              <w:left w:val="nil"/>
              <w:bottom w:val="single" w:sz="4" w:space="0" w:color="auto"/>
              <w:right w:val="single" w:sz="4" w:space="0" w:color="auto"/>
            </w:tcBorders>
            <w:shd w:val="clear" w:color="auto" w:fill="auto"/>
            <w:noWrap/>
            <w:vAlign w:val="center"/>
            <w:hideMark/>
          </w:tcPr>
          <w:p w14:paraId="29D68F2A"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22.13 ± 24.65</w:t>
            </w:r>
          </w:p>
        </w:tc>
        <w:tc>
          <w:tcPr>
            <w:tcW w:w="1941" w:type="dxa"/>
            <w:tcBorders>
              <w:top w:val="nil"/>
              <w:left w:val="nil"/>
              <w:bottom w:val="single" w:sz="4" w:space="0" w:color="auto"/>
              <w:right w:val="single" w:sz="4" w:space="0" w:color="auto"/>
            </w:tcBorders>
            <w:shd w:val="clear" w:color="auto" w:fill="auto"/>
            <w:noWrap/>
            <w:vAlign w:val="center"/>
            <w:hideMark/>
          </w:tcPr>
          <w:p w14:paraId="273F0DD5"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60.08 ± 27.09</w:t>
            </w:r>
          </w:p>
        </w:tc>
        <w:tc>
          <w:tcPr>
            <w:tcW w:w="1712" w:type="dxa"/>
            <w:tcBorders>
              <w:top w:val="nil"/>
              <w:left w:val="nil"/>
              <w:bottom w:val="single" w:sz="4" w:space="0" w:color="auto"/>
              <w:right w:val="single" w:sz="4" w:space="0" w:color="auto"/>
            </w:tcBorders>
            <w:shd w:val="clear" w:color="auto" w:fill="auto"/>
            <w:vAlign w:val="center"/>
            <w:hideMark/>
          </w:tcPr>
          <w:p w14:paraId="39027A79"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38.46 ± 5.62</w:t>
            </w:r>
          </w:p>
        </w:tc>
        <w:tc>
          <w:tcPr>
            <w:tcW w:w="1770" w:type="dxa"/>
            <w:tcBorders>
              <w:top w:val="nil"/>
              <w:left w:val="nil"/>
              <w:bottom w:val="single" w:sz="4" w:space="0" w:color="auto"/>
              <w:right w:val="single" w:sz="8" w:space="0" w:color="auto"/>
            </w:tcBorders>
            <w:shd w:val="clear" w:color="auto" w:fill="auto"/>
            <w:vAlign w:val="center"/>
            <w:hideMark/>
          </w:tcPr>
          <w:p w14:paraId="2F21427C"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79.13 ± 24.04</w:t>
            </w:r>
          </w:p>
        </w:tc>
      </w:tr>
      <w:tr w:rsidR="004B22CD" w:rsidRPr="0085077C" w14:paraId="4A6E83E7"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6915C88E" w14:textId="3D417974" w:rsidR="004B22CD" w:rsidRPr="004B22CD" w:rsidRDefault="004B22CD" w:rsidP="004B22CD">
            <w:pPr>
              <w:spacing w:after="0" w:line="240" w:lineRule="auto"/>
              <w:rPr>
                <w:rFonts w:eastAsia="Times New Roman" w:cstheme="minorHAnsi"/>
                <w:color w:val="000000"/>
                <w:highlight w:val="yellow"/>
                <w:lang w:eastAsia="en-GB"/>
              </w:rPr>
            </w:pPr>
            <w:r w:rsidRPr="004B22CD">
              <w:rPr>
                <w:rFonts w:cstheme="minorHAnsi"/>
                <w:color w:val="000000"/>
              </w:rPr>
              <w:t xml:space="preserve">LVOT/AV Peak Gradient* </w:t>
            </w:r>
            <w:r w:rsidRPr="004B22CD">
              <w:rPr>
                <w:rFonts w:cstheme="minorHAnsi"/>
                <w:sz w:val="24"/>
                <w:szCs w:val="24"/>
              </w:rPr>
              <w:t>≥</w:t>
            </w:r>
            <w:r w:rsidRPr="004B22CD">
              <w:rPr>
                <w:rFonts w:cstheme="minorHAnsi"/>
                <w:color w:val="000000"/>
              </w:rPr>
              <w:t>30mmHg %</w:t>
            </w:r>
          </w:p>
        </w:tc>
        <w:tc>
          <w:tcPr>
            <w:tcW w:w="1571" w:type="dxa"/>
            <w:tcBorders>
              <w:top w:val="nil"/>
              <w:left w:val="nil"/>
              <w:bottom w:val="single" w:sz="4" w:space="0" w:color="auto"/>
              <w:right w:val="single" w:sz="4" w:space="0" w:color="auto"/>
            </w:tcBorders>
            <w:shd w:val="clear" w:color="auto" w:fill="auto"/>
            <w:noWrap/>
            <w:vAlign w:val="center"/>
            <w:hideMark/>
          </w:tcPr>
          <w:p w14:paraId="03BBD1F9"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22.12%</w:t>
            </w:r>
          </w:p>
        </w:tc>
        <w:tc>
          <w:tcPr>
            <w:tcW w:w="1941" w:type="dxa"/>
            <w:tcBorders>
              <w:top w:val="nil"/>
              <w:left w:val="nil"/>
              <w:bottom w:val="single" w:sz="4" w:space="0" w:color="auto"/>
              <w:right w:val="single" w:sz="4" w:space="0" w:color="auto"/>
            </w:tcBorders>
            <w:shd w:val="clear" w:color="auto" w:fill="auto"/>
            <w:noWrap/>
            <w:vAlign w:val="center"/>
            <w:hideMark/>
          </w:tcPr>
          <w:p w14:paraId="5772DD86"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100.00%</w:t>
            </w:r>
          </w:p>
        </w:tc>
        <w:tc>
          <w:tcPr>
            <w:tcW w:w="1712" w:type="dxa"/>
            <w:tcBorders>
              <w:top w:val="nil"/>
              <w:left w:val="nil"/>
              <w:bottom w:val="single" w:sz="4" w:space="0" w:color="auto"/>
              <w:right w:val="single" w:sz="4" w:space="0" w:color="auto"/>
            </w:tcBorders>
            <w:shd w:val="clear" w:color="auto" w:fill="auto"/>
            <w:vAlign w:val="center"/>
            <w:hideMark/>
          </w:tcPr>
          <w:p w14:paraId="6CA953FD"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100.00%</w:t>
            </w:r>
          </w:p>
        </w:tc>
        <w:tc>
          <w:tcPr>
            <w:tcW w:w="1770" w:type="dxa"/>
            <w:tcBorders>
              <w:top w:val="nil"/>
              <w:left w:val="nil"/>
              <w:bottom w:val="single" w:sz="4" w:space="0" w:color="auto"/>
              <w:right w:val="single" w:sz="8" w:space="0" w:color="auto"/>
            </w:tcBorders>
            <w:shd w:val="clear" w:color="auto" w:fill="auto"/>
            <w:vAlign w:val="center"/>
            <w:hideMark/>
          </w:tcPr>
          <w:p w14:paraId="370809D8" w14:textId="77777777" w:rsidR="004B22CD" w:rsidRPr="004B22CD" w:rsidRDefault="004B22CD" w:rsidP="004B22CD">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100.00%</w:t>
            </w:r>
          </w:p>
        </w:tc>
      </w:tr>
      <w:tr w:rsidR="004B22CD" w:rsidRPr="0085077C" w14:paraId="139A828E"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0CC705FE"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LVEF</w:t>
            </w:r>
          </w:p>
        </w:tc>
        <w:tc>
          <w:tcPr>
            <w:tcW w:w="1571" w:type="dxa"/>
            <w:tcBorders>
              <w:top w:val="nil"/>
              <w:left w:val="nil"/>
              <w:bottom w:val="single" w:sz="4" w:space="0" w:color="auto"/>
              <w:right w:val="single" w:sz="4" w:space="0" w:color="auto"/>
            </w:tcBorders>
            <w:shd w:val="clear" w:color="auto" w:fill="auto"/>
            <w:noWrap/>
            <w:vAlign w:val="center"/>
            <w:hideMark/>
          </w:tcPr>
          <w:p w14:paraId="4A3DA94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59.90 ± 13.96</w:t>
            </w:r>
          </w:p>
        </w:tc>
        <w:tc>
          <w:tcPr>
            <w:tcW w:w="1941" w:type="dxa"/>
            <w:tcBorders>
              <w:top w:val="nil"/>
              <w:left w:val="nil"/>
              <w:bottom w:val="single" w:sz="4" w:space="0" w:color="auto"/>
              <w:right w:val="single" w:sz="4" w:space="0" w:color="auto"/>
            </w:tcBorders>
            <w:shd w:val="clear" w:color="auto" w:fill="auto"/>
            <w:noWrap/>
            <w:vAlign w:val="center"/>
            <w:hideMark/>
          </w:tcPr>
          <w:p w14:paraId="3A93F7FD"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64.86 ± 14.81</w:t>
            </w:r>
          </w:p>
        </w:tc>
        <w:tc>
          <w:tcPr>
            <w:tcW w:w="1712" w:type="dxa"/>
            <w:tcBorders>
              <w:top w:val="nil"/>
              <w:left w:val="nil"/>
              <w:bottom w:val="single" w:sz="4" w:space="0" w:color="auto"/>
              <w:right w:val="single" w:sz="4" w:space="0" w:color="auto"/>
            </w:tcBorders>
            <w:shd w:val="clear" w:color="auto" w:fill="auto"/>
            <w:vAlign w:val="center"/>
            <w:hideMark/>
          </w:tcPr>
          <w:p w14:paraId="599D6DAA"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64.90 ± 14.73</w:t>
            </w:r>
          </w:p>
        </w:tc>
        <w:tc>
          <w:tcPr>
            <w:tcW w:w="1770" w:type="dxa"/>
            <w:tcBorders>
              <w:top w:val="nil"/>
              <w:left w:val="nil"/>
              <w:bottom w:val="single" w:sz="4" w:space="0" w:color="auto"/>
              <w:right w:val="single" w:sz="8" w:space="0" w:color="auto"/>
            </w:tcBorders>
            <w:shd w:val="clear" w:color="auto" w:fill="auto"/>
            <w:vAlign w:val="center"/>
            <w:hideMark/>
          </w:tcPr>
          <w:p w14:paraId="0784FAE9"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64.83 ± 14.88</w:t>
            </w:r>
          </w:p>
        </w:tc>
      </w:tr>
      <w:tr w:rsidR="004B22CD" w:rsidRPr="0085077C" w14:paraId="2799A50D"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298F471F"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LVEF &lt;55%</w:t>
            </w:r>
          </w:p>
        </w:tc>
        <w:tc>
          <w:tcPr>
            <w:tcW w:w="1571" w:type="dxa"/>
            <w:tcBorders>
              <w:top w:val="nil"/>
              <w:left w:val="nil"/>
              <w:bottom w:val="single" w:sz="4" w:space="0" w:color="auto"/>
              <w:right w:val="single" w:sz="4" w:space="0" w:color="auto"/>
            </w:tcBorders>
            <w:shd w:val="clear" w:color="auto" w:fill="auto"/>
            <w:noWrap/>
            <w:vAlign w:val="center"/>
            <w:hideMark/>
          </w:tcPr>
          <w:p w14:paraId="78A83950"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27.91%</w:t>
            </w:r>
          </w:p>
        </w:tc>
        <w:tc>
          <w:tcPr>
            <w:tcW w:w="1941" w:type="dxa"/>
            <w:tcBorders>
              <w:top w:val="nil"/>
              <w:left w:val="nil"/>
              <w:bottom w:val="single" w:sz="4" w:space="0" w:color="auto"/>
              <w:right w:val="single" w:sz="4" w:space="0" w:color="auto"/>
            </w:tcBorders>
            <w:shd w:val="clear" w:color="auto" w:fill="auto"/>
            <w:noWrap/>
            <w:vAlign w:val="center"/>
            <w:hideMark/>
          </w:tcPr>
          <w:p w14:paraId="68ABB616"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19.58%</w:t>
            </w:r>
          </w:p>
        </w:tc>
        <w:tc>
          <w:tcPr>
            <w:tcW w:w="1712" w:type="dxa"/>
            <w:tcBorders>
              <w:top w:val="nil"/>
              <w:left w:val="nil"/>
              <w:bottom w:val="single" w:sz="4" w:space="0" w:color="auto"/>
              <w:right w:val="single" w:sz="4" w:space="0" w:color="auto"/>
            </w:tcBorders>
            <w:shd w:val="clear" w:color="auto" w:fill="auto"/>
            <w:vAlign w:val="center"/>
            <w:hideMark/>
          </w:tcPr>
          <w:p w14:paraId="1E7545EE"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18.85%</w:t>
            </w:r>
          </w:p>
        </w:tc>
        <w:tc>
          <w:tcPr>
            <w:tcW w:w="1770" w:type="dxa"/>
            <w:tcBorders>
              <w:top w:val="nil"/>
              <w:left w:val="nil"/>
              <w:bottom w:val="single" w:sz="4" w:space="0" w:color="auto"/>
              <w:right w:val="single" w:sz="8" w:space="0" w:color="auto"/>
            </w:tcBorders>
            <w:shd w:val="clear" w:color="auto" w:fill="auto"/>
            <w:vAlign w:val="center"/>
            <w:hideMark/>
          </w:tcPr>
          <w:p w14:paraId="1408906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20.22%</w:t>
            </w:r>
          </w:p>
        </w:tc>
      </w:tr>
      <w:tr w:rsidR="004B22CD" w:rsidRPr="0085077C" w14:paraId="113C47B9"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4C5DBC70" w14:textId="3B48C1AC"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 xml:space="preserve">LVEF </w:t>
            </w:r>
            <w:r w:rsidR="007D5C93" w:rsidRPr="004B22CD">
              <w:rPr>
                <w:rFonts w:cstheme="minorHAnsi"/>
                <w:sz w:val="24"/>
                <w:szCs w:val="24"/>
              </w:rPr>
              <w:t>≥</w:t>
            </w:r>
            <w:r w:rsidRPr="004B22CD">
              <w:rPr>
                <w:rFonts w:eastAsia="Times New Roman" w:cstheme="minorHAnsi"/>
                <w:color w:val="000000"/>
                <w:lang w:eastAsia="en-GB"/>
              </w:rPr>
              <w:t>55%</w:t>
            </w:r>
          </w:p>
        </w:tc>
        <w:tc>
          <w:tcPr>
            <w:tcW w:w="1571" w:type="dxa"/>
            <w:tcBorders>
              <w:top w:val="nil"/>
              <w:left w:val="nil"/>
              <w:bottom w:val="single" w:sz="4" w:space="0" w:color="auto"/>
              <w:right w:val="single" w:sz="4" w:space="0" w:color="auto"/>
            </w:tcBorders>
            <w:shd w:val="clear" w:color="auto" w:fill="auto"/>
            <w:noWrap/>
            <w:vAlign w:val="center"/>
            <w:hideMark/>
          </w:tcPr>
          <w:p w14:paraId="4312F0ED"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72.09%</w:t>
            </w:r>
          </w:p>
        </w:tc>
        <w:tc>
          <w:tcPr>
            <w:tcW w:w="1941" w:type="dxa"/>
            <w:tcBorders>
              <w:top w:val="nil"/>
              <w:left w:val="nil"/>
              <w:bottom w:val="single" w:sz="4" w:space="0" w:color="auto"/>
              <w:right w:val="single" w:sz="4" w:space="0" w:color="auto"/>
            </w:tcBorders>
            <w:shd w:val="clear" w:color="auto" w:fill="auto"/>
            <w:noWrap/>
            <w:vAlign w:val="center"/>
            <w:hideMark/>
          </w:tcPr>
          <w:p w14:paraId="48B17E9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80.42%</w:t>
            </w:r>
          </w:p>
        </w:tc>
        <w:tc>
          <w:tcPr>
            <w:tcW w:w="1712" w:type="dxa"/>
            <w:tcBorders>
              <w:top w:val="nil"/>
              <w:left w:val="nil"/>
              <w:bottom w:val="single" w:sz="4" w:space="0" w:color="auto"/>
              <w:right w:val="single" w:sz="4" w:space="0" w:color="auto"/>
            </w:tcBorders>
            <w:shd w:val="clear" w:color="auto" w:fill="auto"/>
            <w:vAlign w:val="center"/>
            <w:hideMark/>
          </w:tcPr>
          <w:p w14:paraId="5C51BC5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81.15%</w:t>
            </w:r>
          </w:p>
        </w:tc>
        <w:tc>
          <w:tcPr>
            <w:tcW w:w="1770" w:type="dxa"/>
            <w:tcBorders>
              <w:top w:val="nil"/>
              <w:left w:val="nil"/>
              <w:bottom w:val="single" w:sz="4" w:space="0" w:color="auto"/>
              <w:right w:val="single" w:sz="8" w:space="0" w:color="auto"/>
            </w:tcBorders>
            <w:shd w:val="clear" w:color="auto" w:fill="auto"/>
            <w:vAlign w:val="center"/>
            <w:hideMark/>
          </w:tcPr>
          <w:p w14:paraId="46B462BA"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79.78%</w:t>
            </w:r>
          </w:p>
        </w:tc>
      </w:tr>
      <w:tr w:rsidR="004B22CD" w:rsidRPr="0085077C" w14:paraId="5F674546"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509848FE"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Mitral E wave velocity,</w:t>
            </w:r>
          </w:p>
        </w:tc>
        <w:tc>
          <w:tcPr>
            <w:tcW w:w="1571" w:type="dxa"/>
            <w:tcBorders>
              <w:top w:val="nil"/>
              <w:left w:val="nil"/>
              <w:bottom w:val="single" w:sz="4" w:space="0" w:color="auto"/>
              <w:right w:val="single" w:sz="4" w:space="0" w:color="auto"/>
            </w:tcBorders>
            <w:shd w:val="clear" w:color="auto" w:fill="auto"/>
            <w:noWrap/>
            <w:vAlign w:val="center"/>
            <w:hideMark/>
          </w:tcPr>
          <w:p w14:paraId="7D35085E"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87.33 ± 34.80</w:t>
            </w:r>
          </w:p>
        </w:tc>
        <w:tc>
          <w:tcPr>
            <w:tcW w:w="1941" w:type="dxa"/>
            <w:tcBorders>
              <w:top w:val="nil"/>
              <w:left w:val="nil"/>
              <w:bottom w:val="single" w:sz="4" w:space="0" w:color="auto"/>
              <w:right w:val="single" w:sz="4" w:space="0" w:color="auto"/>
            </w:tcBorders>
            <w:shd w:val="clear" w:color="auto" w:fill="auto"/>
            <w:noWrap/>
            <w:vAlign w:val="center"/>
            <w:hideMark/>
          </w:tcPr>
          <w:p w14:paraId="768F050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99.54 ± 38.84</w:t>
            </w:r>
          </w:p>
        </w:tc>
        <w:tc>
          <w:tcPr>
            <w:tcW w:w="1712" w:type="dxa"/>
            <w:tcBorders>
              <w:top w:val="nil"/>
              <w:left w:val="nil"/>
              <w:bottom w:val="single" w:sz="4" w:space="0" w:color="auto"/>
              <w:right w:val="single" w:sz="4" w:space="0" w:color="auto"/>
            </w:tcBorders>
            <w:shd w:val="clear" w:color="auto" w:fill="auto"/>
            <w:vAlign w:val="center"/>
            <w:hideMark/>
          </w:tcPr>
          <w:p w14:paraId="67C068D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98.79 ± 39.35</w:t>
            </w:r>
          </w:p>
        </w:tc>
        <w:tc>
          <w:tcPr>
            <w:tcW w:w="1770" w:type="dxa"/>
            <w:tcBorders>
              <w:top w:val="nil"/>
              <w:left w:val="nil"/>
              <w:bottom w:val="single" w:sz="4" w:space="0" w:color="auto"/>
              <w:right w:val="single" w:sz="8" w:space="0" w:color="auto"/>
            </w:tcBorders>
            <w:shd w:val="clear" w:color="auto" w:fill="auto"/>
            <w:vAlign w:val="center"/>
            <w:hideMark/>
          </w:tcPr>
          <w:p w14:paraId="5B8383E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100.20 ± 38.39</w:t>
            </w:r>
          </w:p>
        </w:tc>
      </w:tr>
      <w:tr w:rsidR="004B22CD" w:rsidRPr="0085077C" w14:paraId="76CDB9DA"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17D975E9"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Mitral E wave velocity &gt;90cm/s %</w:t>
            </w:r>
          </w:p>
        </w:tc>
        <w:tc>
          <w:tcPr>
            <w:tcW w:w="1571" w:type="dxa"/>
            <w:tcBorders>
              <w:top w:val="nil"/>
              <w:left w:val="nil"/>
              <w:bottom w:val="single" w:sz="4" w:space="0" w:color="auto"/>
              <w:right w:val="single" w:sz="4" w:space="0" w:color="auto"/>
            </w:tcBorders>
            <w:shd w:val="clear" w:color="auto" w:fill="auto"/>
            <w:noWrap/>
            <w:vAlign w:val="center"/>
            <w:hideMark/>
          </w:tcPr>
          <w:p w14:paraId="0C8D193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38.12%</w:t>
            </w:r>
          </w:p>
        </w:tc>
        <w:tc>
          <w:tcPr>
            <w:tcW w:w="1941" w:type="dxa"/>
            <w:tcBorders>
              <w:top w:val="nil"/>
              <w:left w:val="nil"/>
              <w:bottom w:val="single" w:sz="4" w:space="0" w:color="auto"/>
              <w:right w:val="single" w:sz="4" w:space="0" w:color="auto"/>
            </w:tcBorders>
            <w:shd w:val="clear" w:color="auto" w:fill="auto"/>
            <w:noWrap/>
            <w:vAlign w:val="center"/>
            <w:hideMark/>
          </w:tcPr>
          <w:p w14:paraId="1C0CA42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52.57%</w:t>
            </w:r>
          </w:p>
        </w:tc>
        <w:tc>
          <w:tcPr>
            <w:tcW w:w="1712" w:type="dxa"/>
            <w:tcBorders>
              <w:top w:val="nil"/>
              <w:left w:val="nil"/>
              <w:bottom w:val="single" w:sz="4" w:space="0" w:color="auto"/>
              <w:right w:val="single" w:sz="4" w:space="0" w:color="auto"/>
            </w:tcBorders>
            <w:shd w:val="clear" w:color="auto" w:fill="auto"/>
            <w:vAlign w:val="center"/>
            <w:hideMark/>
          </w:tcPr>
          <w:p w14:paraId="2C0231DA"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52.27%</w:t>
            </w:r>
          </w:p>
        </w:tc>
        <w:tc>
          <w:tcPr>
            <w:tcW w:w="1770" w:type="dxa"/>
            <w:tcBorders>
              <w:top w:val="nil"/>
              <w:left w:val="nil"/>
              <w:bottom w:val="single" w:sz="4" w:space="0" w:color="auto"/>
              <w:right w:val="single" w:sz="8" w:space="0" w:color="auto"/>
            </w:tcBorders>
            <w:shd w:val="clear" w:color="auto" w:fill="auto"/>
            <w:vAlign w:val="center"/>
            <w:hideMark/>
          </w:tcPr>
          <w:p w14:paraId="6B3F4F2F"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52.84%</w:t>
            </w:r>
          </w:p>
        </w:tc>
      </w:tr>
      <w:tr w:rsidR="004B22CD" w:rsidRPr="0085077C" w14:paraId="64CCAF37"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4D5FE318"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 septal e’ velocity</w:t>
            </w:r>
          </w:p>
        </w:tc>
        <w:tc>
          <w:tcPr>
            <w:tcW w:w="1571" w:type="dxa"/>
            <w:tcBorders>
              <w:top w:val="nil"/>
              <w:left w:val="nil"/>
              <w:bottom w:val="single" w:sz="4" w:space="0" w:color="auto"/>
              <w:right w:val="single" w:sz="4" w:space="0" w:color="auto"/>
            </w:tcBorders>
            <w:shd w:val="clear" w:color="auto" w:fill="auto"/>
            <w:noWrap/>
            <w:vAlign w:val="center"/>
            <w:hideMark/>
          </w:tcPr>
          <w:p w14:paraId="7297F62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8.94 ± 2.15</w:t>
            </w:r>
          </w:p>
        </w:tc>
        <w:tc>
          <w:tcPr>
            <w:tcW w:w="1941" w:type="dxa"/>
            <w:tcBorders>
              <w:top w:val="nil"/>
              <w:left w:val="nil"/>
              <w:bottom w:val="single" w:sz="4" w:space="0" w:color="auto"/>
              <w:right w:val="single" w:sz="4" w:space="0" w:color="auto"/>
            </w:tcBorders>
            <w:shd w:val="clear" w:color="auto" w:fill="auto"/>
            <w:noWrap/>
            <w:vAlign w:val="center"/>
            <w:hideMark/>
          </w:tcPr>
          <w:p w14:paraId="4ACACEE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5.98 ± 2.17</w:t>
            </w:r>
          </w:p>
        </w:tc>
        <w:tc>
          <w:tcPr>
            <w:tcW w:w="1712" w:type="dxa"/>
            <w:tcBorders>
              <w:top w:val="nil"/>
              <w:left w:val="nil"/>
              <w:bottom w:val="single" w:sz="4" w:space="0" w:color="auto"/>
              <w:right w:val="single" w:sz="4" w:space="0" w:color="auto"/>
            </w:tcBorders>
            <w:shd w:val="clear" w:color="auto" w:fill="auto"/>
            <w:vAlign w:val="center"/>
            <w:hideMark/>
          </w:tcPr>
          <w:p w14:paraId="616FFEEE"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6.15 ± 2.26</w:t>
            </w:r>
          </w:p>
        </w:tc>
        <w:tc>
          <w:tcPr>
            <w:tcW w:w="1770" w:type="dxa"/>
            <w:tcBorders>
              <w:top w:val="nil"/>
              <w:left w:val="nil"/>
              <w:bottom w:val="single" w:sz="4" w:space="0" w:color="auto"/>
              <w:right w:val="single" w:sz="8" w:space="0" w:color="auto"/>
            </w:tcBorders>
            <w:shd w:val="clear" w:color="auto" w:fill="auto"/>
            <w:vAlign w:val="center"/>
            <w:hideMark/>
          </w:tcPr>
          <w:p w14:paraId="2093E53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5.83 ± 2.07</w:t>
            </w:r>
          </w:p>
        </w:tc>
      </w:tr>
      <w:tr w:rsidR="004B22CD" w:rsidRPr="0085077C" w14:paraId="5FF9081D"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1B6ABB15"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LV septal e’ velocity &lt;9cm/s %</w:t>
            </w:r>
          </w:p>
        </w:tc>
        <w:tc>
          <w:tcPr>
            <w:tcW w:w="1571" w:type="dxa"/>
            <w:tcBorders>
              <w:top w:val="nil"/>
              <w:left w:val="nil"/>
              <w:bottom w:val="single" w:sz="4" w:space="0" w:color="auto"/>
              <w:right w:val="single" w:sz="4" w:space="0" w:color="auto"/>
            </w:tcBorders>
            <w:shd w:val="clear" w:color="auto" w:fill="auto"/>
            <w:noWrap/>
            <w:vAlign w:val="center"/>
            <w:hideMark/>
          </w:tcPr>
          <w:p w14:paraId="6897CFE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88.69%</w:t>
            </w:r>
          </w:p>
        </w:tc>
        <w:tc>
          <w:tcPr>
            <w:tcW w:w="1941" w:type="dxa"/>
            <w:tcBorders>
              <w:top w:val="nil"/>
              <w:left w:val="nil"/>
              <w:bottom w:val="single" w:sz="4" w:space="0" w:color="auto"/>
              <w:right w:val="single" w:sz="4" w:space="0" w:color="auto"/>
            </w:tcBorders>
            <w:shd w:val="clear" w:color="auto" w:fill="auto"/>
            <w:noWrap/>
            <w:vAlign w:val="center"/>
            <w:hideMark/>
          </w:tcPr>
          <w:p w14:paraId="230F7808"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85.43%</w:t>
            </w:r>
          </w:p>
        </w:tc>
        <w:tc>
          <w:tcPr>
            <w:tcW w:w="1712" w:type="dxa"/>
            <w:tcBorders>
              <w:top w:val="nil"/>
              <w:left w:val="nil"/>
              <w:bottom w:val="single" w:sz="4" w:space="0" w:color="auto"/>
              <w:right w:val="single" w:sz="4" w:space="0" w:color="auto"/>
            </w:tcBorders>
            <w:shd w:val="clear" w:color="auto" w:fill="auto"/>
            <w:vAlign w:val="center"/>
            <w:hideMark/>
          </w:tcPr>
          <w:p w14:paraId="237C9DB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83.39%</w:t>
            </w:r>
          </w:p>
        </w:tc>
        <w:tc>
          <w:tcPr>
            <w:tcW w:w="1770" w:type="dxa"/>
            <w:tcBorders>
              <w:top w:val="nil"/>
              <w:left w:val="nil"/>
              <w:bottom w:val="single" w:sz="4" w:space="0" w:color="auto"/>
              <w:right w:val="single" w:sz="8" w:space="0" w:color="auto"/>
            </w:tcBorders>
            <w:shd w:val="clear" w:color="auto" w:fill="auto"/>
            <w:vAlign w:val="center"/>
            <w:hideMark/>
          </w:tcPr>
          <w:p w14:paraId="7EBAD136"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87.28%</w:t>
            </w:r>
          </w:p>
        </w:tc>
      </w:tr>
      <w:tr w:rsidR="004B22CD" w:rsidRPr="0085077C" w14:paraId="2EB90ADD"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6FB93858"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Mitral E:e’ ratio</w:t>
            </w:r>
          </w:p>
        </w:tc>
        <w:tc>
          <w:tcPr>
            <w:tcW w:w="1571" w:type="dxa"/>
            <w:tcBorders>
              <w:top w:val="nil"/>
              <w:left w:val="nil"/>
              <w:bottom w:val="single" w:sz="4" w:space="0" w:color="auto"/>
              <w:right w:val="single" w:sz="4" w:space="0" w:color="auto"/>
            </w:tcBorders>
            <w:shd w:val="clear" w:color="auto" w:fill="auto"/>
            <w:noWrap/>
            <w:vAlign w:val="center"/>
            <w:hideMark/>
          </w:tcPr>
          <w:p w14:paraId="2FB372D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15.25 ± 7.48</w:t>
            </w:r>
          </w:p>
        </w:tc>
        <w:tc>
          <w:tcPr>
            <w:tcW w:w="1941" w:type="dxa"/>
            <w:tcBorders>
              <w:top w:val="nil"/>
              <w:left w:val="nil"/>
              <w:bottom w:val="single" w:sz="4" w:space="0" w:color="auto"/>
              <w:right w:val="single" w:sz="4" w:space="0" w:color="auto"/>
            </w:tcBorders>
            <w:shd w:val="clear" w:color="auto" w:fill="auto"/>
            <w:noWrap/>
            <w:vAlign w:val="center"/>
            <w:hideMark/>
          </w:tcPr>
          <w:p w14:paraId="124896A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16.73 ± 8.11</w:t>
            </w:r>
          </w:p>
        </w:tc>
        <w:tc>
          <w:tcPr>
            <w:tcW w:w="1712" w:type="dxa"/>
            <w:tcBorders>
              <w:top w:val="nil"/>
              <w:left w:val="nil"/>
              <w:bottom w:val="single" w:sz="4" w:space="0" w:color="auto"/>
              <w:right w:val="single" w:sz="4" w:space="0" w:color="auto"/>
            </w:tcBorders>
            <w:shd w:val="clear" w:color="auto" w:fill="auto"/>
            <w:vAlign w:val="center"/>
            <w:hideMark/>
          </w:tcPr>
          <w:p w14:paraId="05C8D05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16.16 ± 7.76</w:t>
            </w:r>
          </w:p>
        </w:tc>
        <w:tc>
          <w:tcPr>
            <w:tcW w:w="1770" w:type="dxa"/>
            <w:tcBorders>
              <w:top w:val="nil"/>
              <w:left w:val="nil"/>
              <w:bottom w:val="single" w:sz="4" w:space="0" w:color="auto"/>
              <w:right w:val="single" w:sz="8" w:space="0" w:color="auto"/>
            </w:tcBorders>
            <w:shd w:val="clear" w:color="auto" w:fill="auto"/>
            <w:vAlign w:val="center"/>
            <w:hideMark/>
          </w:tcPr>
          <w:p w14:paraId="03ECCE7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17.24 ± 8.39</w:t>
            </w:r>
          </w:p>
        </w:tc>
      </w:tr>
      <w:tr w:rsidR="004B22CD" w:rsidRPr="0085077C" w14:paraId="49356B15" w14:textId="77777777" w:rsidTr="00DE0218">
        <w:trPr>
          <w:trHeight w:val="220"/>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0BE28825"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Mitral E:e’ ratio &gt;9 %</w:t>
            </w:r>
          </w:p>
        </w:tc>
        <w:tc>
          <w:tcPr>
            <w:tcW w:w="1571" w:type="dxa"/>
            <w:tcBorders>
              <w:top w:val="nil"/>
              <w:left w:val="nil"/>
              <w:bottom w:val="single" w:sz="4" w:space="0" w:color="auto"/>
              <w:right w:val="single" w:sz="4" w:space="0" w:color="auto"/>
            </w:tcBorders>
            <w:shd w:val="clear" w:color="auto" w:fill="auto"/>
            <w:noWrap/>
            <w:vAlign w:val="center"/>
            <w:hideMark/>
          </w:tcPr>
          <w:p w14:paraId="0C8DAE5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83.90%</w:t>
            </w:r>
          </w:p>
        </w:tc>
        <w:tc>
          <w:tcPr>
            <w:tcW w:w="1941" w:type="dxa"/>
            <w:tcBorders>
              <w:top w:val="nil"/>
              <w:left w:val="nil"/>
              <w:bottom w:val="single" w:sz="4" w:space="0" w:color="auto"/>
              <w:right w:val="single" w:sz="4" w:space="0" w:color="auto"/>
            </w:tcBorders>
            <w:shd w:val="clear" w:color="auto" w:fill="auto"/>
            <w:noWrap/>
            <w:vAlign w:val="center"/>
            <w:hideMark/>
          </w:tcPr>
          <w:p w14:paraId="3265EA3E"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91.58%</w:t>
            </w:r>
          </w:p>
        </w:tc>
        <w:tc>
          <w:tcPr>
            <w:tcW w:w="1712" w:type="dxa"/>
            <w:tcBorders>
              <w:top w:val="nil"/>
              <w:left w:val="nil"/>
              <w:bottom w:val="single" w:sz="4" w:space="0" w:color="auto"/>
              <w:right w:val="single" w:sz="4" w:space="0" w:color="auto"/>
            </w:tcBorders>
            <w:shd w:val="clear" w:color="auto" w:fill="auto"/>
            <w:vAlign w:val="center"/>
            <w:hideMark/>
          </w:tcPr>
          <w:p w14:paraId="0AD80D9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90.21%</w:t>
            </w:r>
          </w:p>
        </w:tc>
        <w:tc>
          <w:tcPr>
            <w:tcW w:w="1770" w:type="dxa"/>
            <w:tcBorders>
              <w:top w:val="nil"/>
              <w:left w:val="nil"/>
              <w:bottom w:val="single" w:sz="4" w:space="0" w:color="auto"/>
              <w:right w:val="single" w:sz="8" w:space="0" w:color="auto"/>
            </w:tcBorders>
            <w:shd w:val="clear" w:color="auto" w:fill="auto"/>
            <w:vAlign w:val="center"/>
            <w:hideMark/>
          </w:tcPr>
          <w:p w14:paraId="1D8D1A4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92.79%</w:t>
            </w:r>
          </w:p>
        </w:tc>
      </w:tr>
      <w:tr w:rsidR="004B22CD" w:rsidRPr="0085077C" w14:paraId="39913DD5" w14:textId="77777777" w:rsidTr="00DE0218">
        <w:trPr>
          <w:trHeight w:val="233"/>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2159F04E"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Left atrial volume index, ml/m</w:t>
            </w:r>
            <w:r w:rsidRPr="004B22CD">
              <w:rPr>
                <w:rFonts w:eastAsia="Times New Roman" w:cstheme="minorHAnsi"/>
                <w:color w:val="000000"/>
                <w:sz w:val="20"/>
                <w:szCs w:val="20"/>
                <w:vertAlign w:val="superscript"/>
                <w:lang w:eastAsia="en-GB"/>
              </w:rPr>
              <w:t>2</w:t>
            </w:r>
          </w:p>
        </w:tc>
        <w:tc>
          <w:tcPr>
            <w:tcW w:w="1571" w:type="dxa"/>
            <w:tcBorders>
              <w:top w:val="nil"/>
              <w:left w:val="nil"/>
              <w:bottom w:val="single" w:sz="4" w:space="0" w:color="auto"/>
              <w:right w:val="single" w:sz="4" w:space="0" w:color="auto"/>
            </w:tcBorders>
            <w:shd w:val="clear" w:color="auto" w:fill="auto"/>
            <w:noWrap/>
            <w:vAlign w:val="center"/>
            <w:hideMark/>
          </w:tcPr>
          <w:p w14:paraId="1264947D"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54.79 ± 32.14</w:t>
            </w:r>
          </w:p>
        </w:tc>
        <w:tc>
          <w:tcPr>
            <w:tcW w:w="1941" w:type="dxa"/>
            <w:tcBorders>
              <w:top w:val="nil"/>
              <w:left w:val="nil"/>
              <w:bottom w:val="single" w:sz="4" w:space="0" w:color="auto"/>
              <w:right w:val="single" w:sz="4" w:space="0" w:color="auto"/>
            </w:tcBorders>
            <w:shd w:val="clear" w:color="auto" w:fill="auto"/>
            <w:noWrap/>
            <w:vAlign w:val="center"/>
            <w:hideMark/>
          </w:tcPr>
          <w:p w14:paraId="37A14312"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73.23 ± 40.76</w:t>
            </w:r>
          </w:p>
        </w:tc>
        <w:tc>
          <w:tcPr>
            <w:tcW w:w="1712" w:type="dxa"/>
            <w:tcBorders>
              <w:top w:val="nil"/>
              <w:left w:val="nil"/>
              <w:bottom w:val="single" w:sz="4" w:space="0" w:color="auto"/>
              <w:right w:val="single" w:sz="4" w:space="0" w:color="auto"/>
            </w:tcBorders>
            <w:shd w:val="clear" w:color="auto" w:fill="auto"/>
            <w:vAlign w:val="center"/>
            <w:hideMark/>
          </w:tcPr>
          <w:p w14:paraId="4096E43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71.41 ± 40.11</w:t>
            </w:r>
          </w:p>
        </w:tc>
        <w:tc>
          <w:tcPr>
            <w:tcW w:w="1770" w:type="dxa"/>
            <w:tcBorders>
              <w:top w:val="nil"/>
              <w:left w:val="nil"/>
              <w:bottom w:val="single" w:sz="4" w:space="0" w:color="auto"/>
              <w:right w:val="single" w:sz="8" w:space="0" w:color="auto"/>
            </w:tcBorders>
            <w:shd w:val="clear" w:color="auto" w:fill="auto"/>
            <w:vAlign w:val="center"/>
            <w:hideMark/>
          </w:tcPr>
          <w:p w14:paraId="77BD707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74.85 ± 41.28</w:t>
            </w:r>
          </w:p>
        </w:tc>
      </w:tr>
      <w:tr w:rsidR="004B22CD" w:rsidRPr="0085077C" w14:paraId="34807C35" w14:textId="77777777" w:rsidTr="00DE0218">
        <w:trPr>
          <w:trHeight w:val="233"/>
          <w:jc w:val="center"/>
        </w:trPr>
        <w:tc>
          <w:tcPr>
            <w:tcW w:w="4700" w:type="dxa"/>
            <w:tcBorders>
              <w:top w:val="nil"/>
              <w:left w:val="single" w:sz="8" w:space="0" w:color="auto"/>
              <w:bottom w:val="single" w:sz="4" w:space="0" w:color="auto"/>
              <w:right w:val="single" w:sz="4" w:space="0" w:color="auto"/>
            </w:tcBorders>
            <w:shd w:val="clear" w:color="auto" w:fill="auto"/>
            <w:vAlign w:val="center"/>
            <w:hideMark/>
          </w:tcPr>
          <w:p w14:paraId="13FDE6BA"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Left atrial volume index, &gt;34ml/m</w:t>
            </w:r>
            <w:r w:rsidRPr="004B22CD">
              <w:rPr>
                <w:rFonts w:eastAsia="Times New Roman" w:cstheme="minorHAnsi"/>
                <w:color w:val="000000"/>
                <w:sz w:val="20"/>
                <w:szCs w:val="20"/>
                <w:vertAlign w:val="superscript"/>
                <w:lang w:eastAsia="en-GB"/>
              </w:rPr>
              <w:t>2</w:t>
            </w:r>
            <w:r w:rsidRPr="004B22CD">
              <w:rPr>
                <w:rFonts w:eastAsia="Times New Roman" w:cstheme="minorHAnsi"/>
                <w:color w:val="000000"/>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0E8938F4"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74.78%</w:t>
            </w:r>
          </w:p>
        </w:tc>
        <w:tc>
          <w:tcPr>
            <w:tcW w:w="1941" w:type="dxa"/>
            <w:tcBorders>
              <w:top w:val="nil"/>
              <w:left w:val="nil"/>
              <w:bottom w:val="single" w:sz="4" w:space="0" w:color="auto"/>
              <w:right w:val="single" w:sz="4" w:space="0" w:color="auto"/>
            </w:tcBorders>
            <w:shd w:val="clear" w:color="auto" w:fill="auto"/>
            <w:noWrap/>
            <w:vAlign w:val="center"/>
            <w:hideMark/>
          </w:tcPr>
          <w:p w14:paraId="415A91C7"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87.75%</w:t>
            </w:r>
          </w:p>
        </w:tc>
        <w:tc>
          <w:tcPr>
            <w:tcW w:w="1712" w:type="dxa"/>
            <w:tcBorders>
              <w:top w:val="nil"/>
              <w:left w:val="nil"/>
              <w:bottom w:val="single" w:sz="4" w:space="0" w:color="auto"/>
              <w:right w:val="single" w:sz="4" w:space="0" w:color="auto"/>
            </w:tcBorders>
            <w:shd w:val="clear" w:color="auto" w:fill="auto"/>
            <w:vAlign w:val="center"/>
            <w:hideMark/>
          </w:tcPr>
          <w:p w14:paraId="4A974E6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85.54%</w:t>
            </w:r>
          </w:p>
        </w:tc>
        <w:tc>
          <w:tcPr>
            <w:tcW w:w="1770" w:type="dxa"/>
            <w:tcBorders>
              <w:top w:val="nil"/>
              <w:left w:val="nil"/>
              <w:bottom w:val="single" w:sz="4" w:space="0" w:color="auto"/>
              <w:right w:val="single" w:sz="8" w:space="0" w:color="auto"/>
            </w:tcBorders>
            <w:shd w:val="clear" w:color="auto" w:fill="auto"/>
            <w:vAlign w:val="center"/>
            <w:hideMark/>
          </w:tcPr>
          <w:p w14:paraId="29A83185"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89.70%</w:t>
            </w:r>
          </w:p>
        </w:tc>
      </w:tr>
      <w:tr w:rsidR="004B22CD" w:rsidRPr="0085077C" w14:paraId="095C25B9" w14:textId="77777777" w:rsidTr="00DE0218">
        <w:trPr>
          <w:trHeight w:val="233"/>
          <w:jc w:val="center"/>
        </w:trPr>
        <w:tc>
          <w:tcPr>
            <w:tcW w:w="4700" w:type="dxa"/>
            <w:tcBorders>
              <w:top w:val="nil"/>
              <w:left w:val="single" w:sz="8" w:space="0" w:color="auto"/>
              <w:bottom w:val="single" w:sz="8" w:space="0" w:color="auto"/>
              <w:right w:val="single" w:sz="4" w:space="0" w:color="auto"/>
            </w:tcBorders>
            <w:shd w:val="clear" w:color="auto" w:fill="auto"/>
            <w:vAlign w:val="center"/>
            <w:hideMark/>
          </w:tcPr>
          <w:p w14:paraId="4029BC45" w14:textId="77777777" w:rsidR="004B22CD" w:rsidRPr="004B22CD" w:rsidRDefault="004B22CD" w:rsidP="00DE0218">
            <w:pPr>
              <w:spacing w:after="0" w:line="240" w:lineRule="auto"/>
              <w:rPr>
                <w:rFonts w:eastAsia="Times New Roman" w:cstheme="minorHAnsi"/>
                <w:color w:val="000000"/>
                <w:lang w:eastAsia="en-GB"/>
              </w:rPr>
            </w:pPr>
            <w:r w:rsidRPr="004B22CD">
              <w:rPr>
                <w:rFonts w:eastAsia="Times New Roman" w:cstheme="minorHAnsi"/>
                <w:color w:val="000000"/>
                <w:lang w:eastAsia="en-GB"/>
              </w:rPr>
              <w:t>Moderate-to-Severe mitral regurgitation, %</w:t>
            </w:r>
          </w:p>
        </w:tc>
        <w:tc>
          <w:tcPr>
            <w:tcW w:w="1571" w:type="dxa"/>
            <w:tcBorders>
              <w:top w:val="nil"/>
              <w:left w:val="nil"/>
              <w:bottom w:val="single" w:sz="8" w:space="0" w:color="auto"/>
              <w:right w:val="single" w:sz="4" w:space="0" w:color="auto"/>
            </w:tcBorders>
            <w:shd w:val="clear" w:color="auto" w:fill="auto"/>
            <w:noWrap/>
            <w:vAlign w:val="center"/>
            <w:hideMark/>
          </w:tcPr>
          <w:p w14:paraId="1C2873B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16.03%</w:t>
            </w:r>
          </w:p>
        </w:tc>
        <w:tc>
          <w:tcPr>
            <w:tcW w:w="1941" w:type="dxa"/>
            <w:tcBorders>
              <w:top w:val="nil"/>
              <w:left w:val="nil"/>
              <w:bottom w:val="single" w:sz="8" w:space="0" w:color="auto"/>
              <w:right w:val="single" w:sz="4" w:space="0" w:color="auto"/>
            </w:tcBorders>
            <w:shd w:val="clear" w:color="auto" w:fill="auto"/>
            <w:noWrap/>
            <w:vAlign w:val="center"/>
            <w:hideMark/>
          </w:tcPr>
          <w:p w14:paraId="56EB11DC"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19.49%</w:t>
            </w:r>
          </w:p>
        </w:tc>
        <w:tc>
          <w:tcPr>
            <w:tcW w:w="1712" w:type="dxa"/>
            <w:tcBorders>
              <w:top w:val="nil"/>
              <w:left w:val="nil"/>
              <w:bottom w:val="single" w:sz="8" w:space="0" w:color="auto"/>
              <w:right w:val="single" w:sz="4" w:space="0" w:color="auto"/>
            </w:tcBorders>
            <w:shd w:val="clear" w:color="auto" w:fill="auto"/>
            <w:vAlign w:val="center"/>
            <w:hideMark/>
          </w:tcPr>
          <w:p w14:paraId="1319067B"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17.39%</w:t>
            </w:r>
          </w:p>
        </w:tc>
        <w:tc>
          <w:tcPr>
            <w:tcW w:w="1770" w:type="dxa"/>
            <w:tcBorders>
              <w:top w:val="nil"/>
              <w:left w:val="nil"/>
              <w:bottom w:val="single" w:sz="8" w:space="0" w:color="auto"/>
              <w:right w:val="single" w:sz="8" w:space="0" w:color="auto"/>
            </w:tcBorders>
            <w:shd w:val="clear" w:color="auto" w:fill="auto"/>
            <w:vAlign w:val="center"/>
            <w:hideMark/>
          </w:tcPr>
          <w:p w14:paraId="421A6331" w14:textId="77777777" w:rsidR="004B22CD" w:rsidRPr="004B22CD" w:rsidRDefault="004B22CD" w:rsidP="00DE0218">
            <w:pPr>
              <w:spacing w:after="0" w:line="240" w:lineRule="auto"/>
              <w:jc w:val="center"/>
              <w:rPr>
                <w:rFonts w:eastAsia="Times New Roman" w:cstheme="minorHAnsi"/>
                <w:color w:val="000000"/>
                <w:lang w:eastAsia="en-GB"/>
              </w:rPr>
            </w:pPr>
            <w:r w:rsidRPr="004B22CD">
              <w:rPr>
                <w:rFonts w:eastAsia="Times New Roman" w:cstheme="minorHAnsi"/>
                <w:color w:val="000000"/>
                <w:lang w:eastAsia="en-GB"/>
              </w:rPr>
              <w:t>21.26%</w:t>
            </w:r>
          </w:p>
        </w:tc>
      </w:tr>
    </w:tbl>
    <w:p w14:paraId="76E8D171" w14:textId="77777777" w:rsidR="004B22CD" w:rsidRPr="00F32DFA" w:rsidRDefault="004B22CD" w:rsidP="0047533C">
      <w:pPr>
        <w:spacing w:after="0" w:line="360" w:lineRule="auto"/>
        <w:rPr>
          <w:b/>
          <w:bCs/>
          <w:smallCaps/>
          <w:noProof/>
          <w:color w:val="0070C0"/>
        </w:rPr>
      </w:pPr>
    </w:p>
    <w:p w14:paraId="068A7F71" w14:textId="373854D6" w:rsidR="007D5C93" w:rsidRDefault="004B22CD" w:rsidP="0047533C">
      <w:pPr>
        <w:spacing w:after="0" w:line="360" w:lineRule="auto"/>
        <w:ind w:left="-993" w:right="-46"/>
        <w:rPr>
          <w:rFonts w:cstheme="minorHAnsi"/>
        </w:rPr>
      </w:pPr>
      <w:r w:rsidRPr="00F32DFA">
        <w:rPr>
          <w:rFonts w:cstheme="minorHAnsi"/>
          <w:b/>
          <w:bCs/>
        </w:rPr>
        <w:t>Legend</w:t>
      </w:r>
      <w:r w:rsidRPr="00F32DFA">
        <w:rPr>
          <w:rFonts w:cstheme="minorHAnsi"/>
        </w:rPr>
        <w:t xml:space="preserve">: *Continuous-Wave Doppler Evaluation of LVOT/AV velocities; </w:t>
      </w:r>
      <w:r w:rsidR="0037557A" w:rsidRPr="0037557A">
        <w:rPr>
          <w:rFonts w:cstheme="minorHAnsi"/>
        </w:rPr>
        <w:t>LVOT obstruction (LVOTO)</w:t>
      </w:r>
      <w:r w:rsidR="0037557A">
        <w:rPr>
          <w:rFonts w:cstheme="minorHAnsi"/>
        </w:rPr>
        <w:t xml:space="preserve">; </w:t>
      </w:r>
      <w:r w:rsidRPr="00F32DFA">
        <w:rPr>
          <w:rFonts w:cstheme="minorHAnsi"/>
        </w:rPr>
        <w:t>obstructive hypertrophic cardiomyopathy (oHCM) defined as any increase in LVOT/AV velocities corresponding to a peak gradient ≥30mmHg.</w:t>
      </w:r>
    </w:p>
    <w:p w14:paraId="79B016DE" w14:textId="77777777" w:rsidR="007D5C93" w:rsidRDefault="007D5C93">
      <w:pPr>
        <w:rPr>
          <w:rFonts w:cstheme="minorHAnsi"/>
        </w:rPr>
      </w:pPr>
      <w:r>
        <w:rPr>
          <w:rFonts w:cstheme="minorHAnsi"/>
        </w:rPr>
        <w:br w:type="page"/>
      </w:r>
    </w:p>
    <w:p w14:paraId="21523CB2" w14:textId="1CB663C1" w:rsidR="004B22CD" w:rsidRPr="007D5C93" w:rsidRDefault="007D5C93" w:rsidP="007D5C93">
      <w:pPr>
        <w:spacing w:line="240" w:lineRule="auto"/>
        <w:rPr>
          <w:b/>
          <w:bCs/>
          <w:smallCaps/>
          <w:noProof/>
          <w:color w:val="7030A0"/>
          <w:sz w:val="28"/>
          <w:szCs w:val="28"/>
        </w:rPr>
      </w:pPr>
      <w:r w:rsidRPr="0047105D">
        <w:rPr>
          <w:rFonts w:cstheme="minorHAnsi"/>
          <w:b/>
          <w:bCs/>
          <w:noProof/>
          <w:sz w:val="28"/>
          <w:szCs w:val="28"/>
        </w:rPr>
        <w:lastRenderedPageBreak/>
        <w:t>Supplementary Table S</w:t>
      </w:r>
      <w:r>
        <w:rPr>
          <w:rFonts w:cstheme="minorHAnsi"/>
          <w:b/>
          <w:bCs/>
          <w:noProof/>
          <w:sz w:val="28"/>
          <w:szCs w:val="28"/>
        </w:rPr>
        <w:t>4</w:t>
      </w:r>
      <w:r w:rsidRPr="0047105D">
        <w:rPr>
          <w:rFonts w:cstheme="minorHAnsi"/>
          <w:b/>
          <w:bCs/>
          <w:noProof/>
          <w:sz w:val="28"/>
          <w:szCs w:val="28"/>
        </w:rPr>
        <w:t xml:space="preserve">. </w:t>
      </w:r>
      <w:r w:rsidR="00B25738" w:rsidRPr="00B25738">
        <w:rPr>
          <w:rFonts w:cstheme="minorHAnsi"/>
          <w:b/>
          <w:bCs/>
          <w:noProof/>
          <w:sz w:val="28"/>
          <w:szCs w:val="28"/>
        </w:rPr>
        <w:t xml:space="preserve">Cases of the HCM Phenotype </w:t>
      </w:r>
      <w:r>
        <w:rPr>
          <w:rFonts w:cstheme="minorHAnsi"/>
          <w:b/>
          <w:bCs/>
          <w:noProof/>
          <w:sz w:val="28"/>
          <w:szCs w:val="28"/>
        </w:rPr>
        <w:t xml:space="preserve">in </w:t>
      </w:r>
      <w:r w:rsidRPr="00E35525">
        <w:rPr>
          <w:rFonts w:cstheme="minorHAnsi"/>
          <w:b/>
          <w:bCs/>
          <w:noProof/>
          <w:sz w:val="28"/>
          <w:szCs w:val="28"/>
        </w:rPr>
        <w:t xml:space="preserve">the NEDA </w:t>
      </w:r>
      <w:r>
        <w:rPr>
          <w:rFonts w:cstheme="minorHAnsi"/>
          <w:b/>
          <w:bCs/>
          <w:noProof/>
          <w:sz w:val="28"/>
          <w:szCs w:val="28"/>
        </w:rPr>
        <w:t>c</w:t>
      </w:r>
      <w:r w:rsidRPr="00E35525">
        <w:rPr>
          <w:rFonts w:cstheme="minorHAnsi"/>
          <w:b/>
          <w:bCs/>
          <w:noProof/>
          <w:sz w:val="28"/>
          <w:szCs w:val="28"/>
        </w:rPr>
        <w:t>ohor</w:t>
      </w:r>
      <w:r>
        <w:rPr>
          <w:rFonts w:cstheme="minorHAnsi"/>
          <w:b/>
          <w:bCs/>
          <w:noProof/>
          <w:sz w:val="28"/>
          <w:szCs w:val="28"/>
        </w:rPr>
        <w:t>t with LVEF above and below 55%</w:t>
      </w:r>
    </w:p>
    <w:tbl>
      <w:tblPr>
        <w:tblW w:w="9911" w:type="dxa"/>
        <w:tblInd w:w="-332" w:type="dxa"/>
        <w:tblLook w:val="04A0" w:firstRow="1" w:lastRow="0" w:firstColumn="1" w:lastColumn="0" w:noHBand="0" w:noVBand="1"/>
      </w:tblPr>
      <w:tblGrid>
        <w:gridCol w:w="5129"/>
        <w:gridCol w:w="1592"/>
        <w:gridCol w:w="1592"/>
        <w:gridCol w:w="1598"/>
      </w:tblGrid>
      <w:tr w:rsidR="007D5C93" w:rsidRPr="007D5C93" w14:paraId="0A575DE5" w14:textId="77777777" w:rsidTr="00CB0A16">
        <w:trPr>
          <w:trHeight w:val="299"/>
        </w:trPr>
        <w:tc>
          <w:tcPr>
            <w:tcW w:w="512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A08A1C6" w14:textId="77777777" w:rsidR="007D5C93" w:rsidRPr="007D5C93" w:rsidRDefault="007D5C93" w:rsidP="00DE0218">
            <w:pPr>
              <w:spacing w:after="0" w:line="240" w:lineRule="auto"/>
              <w:rPr>
                <w:rFonts w:eastAsia="Times New Roman" w:cstheme="minorHAnsi"/>
                <w:b/>
                <w:bCs/>
                <w:color w:val="000000"/>
                <w:lang w:eastAsia="en-GB"/>
              </w:rPr>
            </w:pPr>
            <w:r w:rsidRPr="007D5C93">
              <w:rPr>
                <w:rFonts w:eastAsia="Times New Roman" w:cstheme="minorHAnsi"/>
                <w:b/>
                <w:bCs/>
                <w:color w:val="000000"/>
                <w:lang w:eastAsia="en-GB"/>
              </w:rPr>
              <w:t>HCM Cases with LVEF</w:t>
            </w:r>
          </w:p>
        </w:tc>
        <w:tc>
          <w:tcPr>
            <w:tcW w:w="1592" w:type="dxa"/>
            <w:tcBorders>
              <w:top w:val="single" w:sz="8" w:space="0" w:color="auto"/>
              <w:left w:val="single" w:sz="4" w:space="0" w:color="auto"/>
              <w:bottom w:val="nil"/>
              <w:right w:val="single" w:sz="4" w:space="0" w:color="auto"/>
            </w:tcBorders>
            <w:shd w:val="clear" w:color="auto" w:fill="auto"/>
            <w:vAlign w:val="center"/>
            <w:hideMark/>
          </w:tcPr>
          <w:p w14:paraId="0832DDFC" w14:textId="373AA0D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HCM</w:t>
            </w:r>
            <w:r w:rsidR="00C03A11">
              <w:rPr>
                <w:rFonts w:eastAsia="Times New Roman" w:cstheme="minorHAnsi"/>
                <w:b/>
                <w:bCs/>
                <w:color w:val="000000"/>
                <w:lang w:eastAsia="en-GB"/>
              </w:rPr>
              <w:t xml:space="preserve"> Phenotype</w:t>
            </w:r>
          </w:p>
        </w:tc>
        <w:tc>
          <w:tcPr>
            <w:tcW w:w="1592" w:type="dxa"/>
            <w:tcBorders>
              <w:top w:val="single" w:sz="8" w:space="0" w:color="auto"/>
              <w:left w:val="single" w:sz="4" w:space="0" w:color="auto"/>
              <w:bottom w:val="nil"/>
              <w:right w:val="single" w:sz="4" w:space="0" w:color="auto"/>
            </w:tcBorders>
            <w:shd w:val="clear" w:color="auto" w:fill="auto"/>
            <w:vAlign w:val="center"/>
            <w:hideMark/>
          </w:tcPr>
          <w:p w14:paraId="227AB0BD" w14:textId="7777777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LVEF &lt;55%</w:t>
            </w:r>
          </w:p>
        </w:tc>
        <w:tc>
          <w:tcPr>
            <w:tcW w:w="1598" w:type="dxa"/>
            <w:tcBorders>
              <w:top w:val="single" w:sz="8" w:space="0" w:color="auto"/>
              <w:left w:val="single" w:sz="4" w:space="0" w:color="auto"/>
              <w:bottom w:val="nil"/>
              <w:right w:val="single" w:sz="8" w:space="0" w:color="auto"/>
            </w:tcBorders>
            <w:shd w:val="clear" w:color="auto" w:fill="auto"/>
            <w:vAlign w:val="center"/>
            <w:hideMark/>
          </w:tcPr>
          <w:p w14:paraId="57DB123C" w14:textId="7777777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LVEF &gt;=55%</w:t>
            </w:r>
          </w:p>
        </w:tc>
      </w:tr>
      <w:tr w:rsidR="007D5C93" w:rsidRPr="007D5C93" w14:paraId="37CBBB54" w14:textId="77777777" w:rsidTr="00CB0A16">
        <w:trPr>
          <w:trHeight w:val="146"/>
        </w:trPr>
        <w:tc>
          <w:tcPr>
            <w:tcW w:w="5129"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4B9C25A" w14:textId="77777777" w:rsidR="007D5C93" w:rsidRPr="007D5C93" w:rsidRDefault="007D5C93" w:rsidP="00DE0218">
            <w:pPr>
              <w:spacing w:after="0" w:line="240" w:lineRule="auto"/>
              <w:rPr>
                <w:rFonts w:eastAsia="Times New Roman" w:cstheme="minorHAnsi"/>
                <w:b/>
                <w:bCs/>
                <w:color w:val="000000"/>
                <w:lang w:eastAsia="en-GB"/>
              </w:rPr>
            </w:pPr>
          </w:p>
        </w:tc>
        <w:tc>
          <w:tcPr>
            <w:tcW w:w="1592" w:type="dxa"/>
            <w:tcBorders>
              <w:top w:val="nil"/>
              <w:left w:val="single" w:sz="4" w:space="0" w:color="auto"/>
              <w:bottom w:val="single" w:sz="8" w:space="0" w:color="auto"/>
              <w:right w:val="single" w:sz="4" w:space="0" w:color="auto"/>
            </w:tcBorders>
            <w:shd w:val="clear" w:color="auto" w:fill="auto"/>
            <w:vAlign w:val="center"/>
            <w:hideMark/>
          </w:tcPr>
          <w:p w14:paraId="7561DE51" w14:textId="7777777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13,715 cases</w:t>
            </w:r>
          </w:p>
        </w:tc>
        <w:tc>
          <w:tcPr>
            <w:tcW w:w="1592" w:type="dxa"/>
            <w:tcBorders>
              <w:top w:val="nil"/>
              <w:left w:val="single" w:sz="4" w:space="0" w:color="auto"/>
              <w:bottom w:val="single" w:sz="8" w:space="0" w:color="auto"/>
              <w:right w:val="single" w:sz="4" w:space="0" w:color="auto"/>
            </w:tcBorders>
            <w:shd w:val="clear" w:color="auto" w:fill="auto"/>
            <w:vAlign w:val="center"/>
            <w:hideMark/>
          </w:tcPr>
          <w:p w14:paraId="469AD1A5" w14:textId="7777777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3,389 cases</w:t>
            </w:r>
          </w:p>
        </w:tc>
        <w:tc>
          <w:tcPr>
            <w:tcW w:w="1598" w:type="dxa"/>
            <w:tcBorders>
              <w:top w:val="nil"/>
              <w:left w:val="single" w:sz="4" w:space="0" w:color="auto"/>
              <w:bottom w:val="single" w:sz="8" w:space="0" w:color="auto"/>
              <w:right w:val="single" w:sz="8" w:space="0" w:color="auto"/>
            </w:tcBorders>
            <w:shd w:val="clear" w:color="auto" w:fill="auto"/>
            <w:vAlign w:val="center"/>
            <w:hideMark/>
          </w:tcPr>
          <w:p w14:paraId="3C698979" w14:textId="77777777" w:rsidR="007D5C93" w:rsidRPr="007D5C93" w:rsidRDefault="007D5C93" w:rsidP="00DE0218">
            <w:pPr>
              <w:spacing w:after="0" w:line="240" w:lineRule="auto"/>
              <w:jc w:val="center"/>
              <w:rPr>
                <w:rFonts w:eastAsia="Times New Roman" w:cstheme="minorHAnsi"/>
                <w:b/>
                <w:bCs/>
                <w:color w:val="000000"/>
                <w:lang w:eastAsia="en-GB"/>
              </w:rPr>
            </w:pPr>
            <w:r w:rsidRPr="007D5C93">
              <w:rPr>
                <w:rFonts w:eastAsia="Times New Roman" w:cstheme="minorHAnsi"/>
                <w:b/>
                <w:bCs/>
                <w:color w:val="000000"/>
                <w:lang w:eastAsia="en-GB"/>
              </w:rPr>
              <w:t>10,326 cases</w:t>
            </w:r>
          </w:p>
        </w:tc>
      </w:tr>
      <w:tr w:rsidR="007D5C93" w:rsidRPr="007D5C93" w14:paraId="74455706" w14:textId="77777777" w:rsidTr="00CB0A16">
        <w:trPr>
          <w:trHeight w:val="317"/>
        </w:trPr>
        <w:tc>
          <w:tcPr>
            <w:tcW w:w="9911" w:type="dxa"/>
            <w:gridSpan w:val="4"/>
            <w:tcBorders>
              <w:top w:val="nil"/>
              <w:left w:val="single" w:sz="8" w:space="0" w:color="auto"/>
              <w:bottom w:val="nil"/>
              <w:right w:val="single" w:sz="8" w:space="0" w:color="000000"/>
            </w:tcBorders>
            <w:shd w:val="clear" w:color="auto" w:fill="auto"/>
            <w:vAlign w:val="center"/>
            <w:hideMark/>
          </w:tcPr>
          <w:p w14:paraId="1DDE4D39" w14:textId="77777777" w:rsidR="007D5C93" w:rsidRPr="007D5C93" w:rsidRDefault="007D5C93" w:rsidP="00DE0218">
            <w:pPr>
              <w:spacing w:after="0" w:line="240" w:lineRule="auto"/>
              <w:rPr>
                <w:rFonts w:eastAsia="Times New Roman" w:cstheme="minorHAnsi"/>
                <w:b/>
                <w:bCs/>
                <w:color w:val="000000"/>
                <w:lang w:eastAsia="en-GB"/>
              </w:rPr>
            </w:pPr>
            <w:r w:rsidRPr="007D5C93">
              <w:rPr>
                <w:rFonts w:eastAsia="Times New Roman" w:cstheme="minorHAnsi"/>
                <w:b/>
                <w:bCs/>
                <w:color w:val="000000"/>
                <w:lang w:eastAsia="en-GB"/>
              </w:rPr>
              <w:t>Demographic</w:t>
            </w:r>
          </w:p>
        </w:tc>
      </w:tr>
      <w:tr w:rsidR="007D5C93" w:rsidRPr="007D5C93" w14:paraId="7BF9F2F4" w14:textId="77777777" w:rsidTr="00CB0A16">
        <w:trPr>
          <w:trHeight w:val="299"/>
        </w:trPr>
        <w:tc>
          <w:tcPr>
            <w:tcW w:w="512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32880C9"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Men %</w:t>
            </w:r>
          </w:p>
        </w:tc>
        <w:tc>
          <w:tcPr>
            <w:tcW w:w="1592" w:type="dxa"/>
            <w:tcBorders>
              <w:top w:val="single" w:sz="8" w:space="0" w:color="auto"/>
              <w:left w:val="nil"/>
              <w:bottom w:val="single" w:sz="4" w:space="0" w:color="auto"/>
              <w:right w:val="single" w:sz="4" w:space="0" w:color="auto"/>
            </w:tcBorders>
            <w:shd w:val="clear" w:color="auto" w:fill="auto"/>
            <w:noWrap/>
            <w:vAlign w:val="center"/>
            <w:hideMark/>
          </w:tcPr>
          <w:p w14:paraId="63E15F62"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66.11%</w:t>
            </w:r>
          </w:p>
        </w:tc>
        <w:tc>
          <w:tcPr>
            <w:tcW w:w="1592" w:type="dxa"/>
            <w:tcBorders>
              <w:top w:val="single" w:sz="8" w:space="0" w:color="auto"/>
              <w:left w:val="nil"/>
              <w:bottom w:val="single" w:sz="4" w:space="0" w:color="auto"/>
              <w:right w:val="single" w:sz="4" w:space="0" w:color="auto"/>
            </w:tcBorders>
            <w:shd w:val="clear" w:color="auto" w:fill="auto"/>
            <w:vAlign w:val="center"/>
            <w:hideMark/>
          </w:tcPr>
          <w:p w14:paraId="58150D90"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75.01%</w:t>
            </w:r>
          </w:p>
        </w:tc>
        <w:tc>
          <w:tcPr>
            <w:tcW w:w="1598" w:type="dxa"/>
            <w:tcBorders>
              <w:top w:val="single" w:sz="8" w:space="0" w:color="auto"/>
              <w:left w:val="nil"/>
              <w:bottom w:val="single" w:sz="4" w:space="0" w:color="auto"/>
              <w:right w:val="single" w:sz="8" w:space="0" w:color="auto"/>
            </w:tcBorders>
            <w:shd w:val="clear" w:color="auto" w:fill="auto"/>
            <w:vAlign w:val="center"/>
            <w:hideMark/>
          </w:tcPr>
          <w:p w14:paraId="3AB63AC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63.19%</w:t>
            </w:r>
          </w:p>
        </w:tc>
      </w:tr>
      <w:tr w:rsidR="007D5C93" w:rsidRPr="007D5C93" w14:paraId="4D3883B9" w14:textId="77777777" w:rsidTr="00CB0A16">
        <w:trPr>
          <w:trHeight w:val="317"/>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3EEA74D9"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Age at last echo (years)</w:t>
            </w:r>
          </w:p>
        </w:tc>
        <w:tc>
          <w:tcPr>
            <w:tcW w:w="1592" w:type="dxa"/>
            <w:tcBorders>
              <w:top w:val="nil"/>
              <w:left w:val="nil"/>
              <w:bottom w:val="single" w:sz="4" w:space="0" w:color="auto"/>
              <w:right w:val="single" w:sz="4" w:space="0" w:color="auto"/>
            </w:tcBorders>
            <w:shd w:val="clear" w:color="auto" w:fill="auto"/>
            <w:noWrap/>
            <w:vAlign w:val="center"/>
            <w:hideMark/>
          </w:tcPr>
          <w:p w14:paraId="43918C90"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71.76 ± 14.14</w:t>
            </w:r>
          </w:p>
        </w:tc>
        <w:tc>
          <w:tcPr>
            <w:tcW w:w="1592" w:type="dxa"/>
            <w:tcBorders>
              <w:top w:val="nil"/>
              <w:left w:val="nil"/>
              <w:bottom w:val="single" w:sz="4" w:space="0" w:color="auto"/>
              <w:right w:val="single" w:sz="4" w:space="0" w:color="auto"/>
            </w:tcBorders>
            <w:shd w:val="clear" w:color="auto" w:fill="auto"/>
            <w:vAlign w:val="center"/>
            <w:hideMark/>
          </w:tcPr>
          <w:p w14:paraId="41CA4116"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73.33 ± 13.98</w:t>
            </w:r>
          </w:p>
        </w:tc>
        <w:tc>
          <w:tcPr>
            <w:tcW w:w="1598" w:type="dxa"/>
            <w:tcBorders>
              <w:top w:val="nil"/>
              <w:left w:val="nil"/>
              <w:bottom w:val="single" w:sz="4" w:space="0" w:color="auto"/>
              <w:right w:val="single" w:sz="8" w:space="0" w:color="auto"/>
            </w:tcBorders>
            <w:shd w:val="clear" w:color="auto" w:fill="auto"/>
            <w:vAlign w:val="center"/>
            <w:hideMark/>
          </w:tcPr>
          <w:p w14:paraId="072FBB7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71.25 ± 14.14</w:t>
            </w:r>
          </w:p>
        </w:tc>
      </w:tr>
      <w:tr w:rsidR="007D5C93" w:rsidRPr="007D5C93" w14:paraId="04818FEA" w14:textId="77777777" w:rsidTr="00CB0A16">
        <w:trPr>
          <w:trHeight w:val="317"/>
        </w:trPr>
        <w:tc>
          <w:tcPr>
            <w:tcW w:w="5129" w:type="dxa"/>
            <w:tcBorders>
              <w:top w:val="nil"/>
              <w:left w:val="single" w:sz="8" w:space="0" w:color="auto"/>
              <w:bottom w:val="single" w:sz="8" w:space="0" w:color="auto"/>
              <w:right w:val="single" w:sz="4" w:space="0" w:color="auto"/>
            </w:tcBorders>
            <w:shd w:val="clear" w:color="auto" w:fill="auto"/>
            <w:vAlign w:val="center"/>
            <w:hideMark/>
          </w:tcPr>
          <w:p w14:paraId="0C223DD5"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BMI (kg/m</w:t>
            </w:r>
            <w:r w:rsidRPr="007D5C93">
              <w:rPr>
                <w:rFonts w:eastAsia="Times New Roman" w:cstheme="minorHAnsi"/>
                <w:color w:val="000000"/>
                <w:sz w:val="20"/>
                <w:szCs w:val="20"/>
                <w:vertAlign w:val="superscript"/>
                <w:lang w:eastAsia="en-GB"/>
              </w:rPr>
              <w:t>2</w:t>
            </w:r>
            <w:r w:rsidRPr="007D5C93">
              <w:rPr>
                <w:rFonts w:eastAsia="Times New Roman" w:cstheme="minorHAnsi"/>
                <w:color w:val="000000"/>
                <w:lang w:eastAsia="en-GB"/>
              </w:rPr>
              <w:t>)</w:t>
            </w:r>
          </w:p>
        </w:tc>
        <w:tc>
          <w:tcPr>
            <w:tcW w:w="1592" w:type="dxa"/>
            <w:tcBorders>
              <w:top w:val="nil"/>
              <w:left w:val="nil"/>
              <w:bottom w:val="single" w:sz="8" w:space="0" w:color="auto"/>
              <w:right w:val="single" w:sz="4" w:space="0" w:color="auto"/>
            </w:tcBorders>
            <w:shd w:val="clear" w:color="auto" w:fill="auto"/>
            <w:noWrap/>
            <w:vAlign w:val="center"/>
            <w:hideMark/>
          </w:tcPr>
          <w:p w14:paraId="18AABDE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29.93 ± 7.10</w:t>
            </w:r>
          </w:p>
        </w:tc>
        <w:tc>
          <w:tcPr>
            <w:tcW w:w="1592" w:type="dxa"/>
            <w:tcBorders>
              <w:top w:val="nil"/>
              <w:left w:val="nil"/>
              <w:bottom w:val="single" w:sz="8" w:space="0" w:color="auto"/>
              <w:right w:val="single" w:sz="4" w:space="0" w:color="auto"/>
            </w:tcBorders>
            <w:shd w:val="clear" w:color="auto" w:fill="auto"/>
            <w:vAlign w:val="center"/>
            <w:hideMark/>
          </w:tcPr>
          <w:p w14:paraId="69439F6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28.91 ± 6.72</w:t>
            </w:r>
          </w:p>
        </w:tc>
        <w:tc>
          <w:tcPr>
            <w:tcW w:w="1598" w:type="dxa"/>
            <w:tcBorders>
              <w:top w:val="nil"/>
              <w:left w:val="nil"/>
              <w:bottom w:val="single" w:sz="8" w:space="0" w:color="auto"/>
              <w:right w:val="single" w:sz="8" w:space="0" w:color="auto"/>
            </w:tcBorders>
            <w:shd w:val="clear" w:color="auto" w:fill="auto"/>
            <w:vAlign w:val="center"/>
            <w:hideMark/>
          </w:tcPr>
          <w:p w14:paraId="6248235D"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30.25 ± 7.19</w:t>
            </w:r>
          </w:p>
        </w:tc>
      </w:tr>
      <w:tr w:rsidR="007D5C93" w:rsidRPr="007D5C93" w14:paraId="72F50C31" w14:textId="77777777" w:rsidTr="00CB0A16">
        <w:trPr>
          <w:trHeight w:val="317"/>
        </w:trPr>
        <w:tc>
          <w:tcPr>
            <w:tcW w:w="9911"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97AB169" w14:textId="77777777" w:rsidR="007D5C93" w:rsidRPr="007D5C93" w:rsidRDefault="007D5C93" w:rsidP="00DE0218">
            <w:pPr>
              <w:spacing w:after="0" w:line="240" w:lineRule="auto"/>
              <w:rPr>
                <w:rFonts w:eastAsia="Times New Roman" w:cstheme="minorHAnsi"/>
                <w:b/>
                <w:bCs/>
                <w:color w:val="000000"/>
                <w:lang w:eastAsia="en-GB"/>
              </w:rPr>
            </w:pPr>
            <w:r w:rsidRPr="007D5C93">
              <w:rPr>
                <w:rFonts w:eastAsia="Times New Roman" w:cstheme="minorHAnsi"/>
                <w:b/>
                <w:bCs/>
                <w:color w:val="000000"/>
                <w:lang w:eastAsia="en-GB"/>
              </w:rPr>
              <w:t>LV Dimensions/Function</w:t>
            </w:r>
            <w:r w:rsidRPr="007D5C93">
              <w:rPr>
                <w:rFonts w:eastAsia="Times New Roman" w:cstheme="minorHAnsi"/>
                <w:color w:val="000000"/>
                <w:lang w:eastAsia="en-GB"/>
              </w:rPr>
              <w:t> </w:t>
            </w:r>
          </w:p>
        </w:tc>
      </w:tr>
      <w:tr w:rsidR="007D5C93" w:rsidRPr="007D5C93" w14:paraId="79AC0E6A"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3DE1A82A"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IV Septal thickness</w:t>
            </w:r>
          </w:p>
        </w:tc>
        <w:tc>
          <w:tcPr>
            <w:tcW w:w="1592" w:type="dxa"/>
            <w:tcBorders>
              <w:top w:val="nil"/>
              <w:left w:val="nil"/>
              <w:bottom w:val="single" w:sz="4" w:space="0" w:color="auto"/>
              <w:right w:val="single" w:sz="4" w:space="0" w:color="auto"/>
            </w:tcBorders>
            <w:shd w:val="clear" w:color="auto" w:fill="auto"/>
            <w:noWrap/>
            <w:vAlign w:val="center"/>
            <w:hideMark/>
          </w:tcPr>
          <w:p w14:paraId="14FD308C"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1.62 ± 0.22</w:t>
            </w:r>
          </w:p>
        </w:tc>
        <w:tc>
          <w:tcPr>
            <w:tcW w:w="1592" w:type="dxa"/>
            <w:tcBorders>
              <w:top w:val="nil"/>
              <w:left w:val="nil"/>
              <w:bottom w:val="single" w:sz="4" w:space="0" w:color="auto"/>
              <w:right w:val="single" w:sz="4" w:space="0" w:color="auto"/>
            </w:tcBorders>
            <w:shd w:val="clear" w:color="auto" w:fill="auto"/>
            <w:vAlign w:val="center"/>
            <w:hideMark/>
          </w:tcPr>
          <w:p w14:paraId="503C23C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1.61 ± 0.23</w:t>
            </w:r>
          </w:p>
        </w:tc>
        <w:tc>
          <w:tcPr>
            <w:tcW w:w="1598" w:type="dxa"/>
            <w:tcBorders>
              <w:top w:val="nil"/>
              <w:left w:val="nil"/>
              <w:bottom w:val="single" w:sz="4" w:space="0" w:color="auto"/>
              <w:right w:val="single" w:sz="8" w:space="0" w:color="auto"/>
            </w:tcBorders>
            <w:shd w:val="clear" w:color="auto" w:fill="auto"/>
            <w:vAlign w:val="center"/>
            <w:hideMark/>
          </w:tcPr>
          <w:p w14:paraId="2E36717A"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1.62 ± 0.22</w:t>
            </w:r>
          </w:p>
        </w:tc>
      </w:tr>
      <w:tr w:rsidR="007D5C93" w:rsidRPr="007D5C93" w14:paraId="57FFD40C"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58B1E215" w14:textId="6B21CFA5"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 xml:space="preserve">IV Septal thickness </w:t>
            </w:r>
            <w:r w:rsidRPr="004B22CD">
              <w:rPr>
                <w:rFonts w:cstheme="minorHAnsi"/>
                <w:sz w:val="24"/>
                <w:szCs w:val="24"/>
              </w:rPr>
              <w:t>≥</w:t>
            </w:r>
            <w:r w:rsidRPr="007D5C93">
              <w:rPr>
                <w:rFonts w:eastAsia="Times New Roman" w:cstheme="minorHAnsi"/>
                <w:color w:val="000000"/>
                <w:lang w:eastAsia="en-GB"/>
              </w:rPr>
              <w:t>15mm %</w:t>
            </w:r>
          </w:p>
        </w:tc>
        <w:tc>
          <w:tcPr>
            <w:tcW w:w="1592" w:type="dxa"/>
            <w:tcBorders>
              <w:top w:val="nil"/>
              <w:left w:val="nil"/>
              <w:bottom w:val="single" w:sz="4" w:space="0" w:color="auto"/>
              <w:right w:val="single" w:sz="4" w:space="0" w:color="auto"/>
            </w:tcBorders>
            <w:shd w:val="clear" w:color="auto" w:fill="auto"/>
            <w:noWrap/>
            <w:vAlign w:val="center"/>
            <w:hideMark/>
          </w:tcPr>
          <w:p w14:paraId="3B3B16EC"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91.07%</w:t>
            </w:r>
          </w:p>
        </w:tc>
        <w:tc>
          <w:tcPr>
            <w:tcW w:w="1592" w:type="dxa"/>
            <w:tcBorders>
              <w:top w:val="nil"/>
              <w:left w:val="nil"/>
              <w:bottom w:val="single" w:sz="4" w:space="0" w:color="auto"/>
              <w:right w:val="single" w:sz="4" w:space="0" w:color="auto"/>
            </w:tcBorders>
            <w:shd w:val="clear" w:color="auto" w:fill="auto"/>
            <w:vAlign w:val="center"/>
            <w:hideMark/>
          </w:tcPr>
          <w:p w14:paraId="64EB26A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87.46%</w:t>
            </w:r>
          </w:p>
        </w:tc>
        <w:tc>
          <w:tcPr>
            <w:tcW w:w="1598" w:type="dxa"/>
            <w:tcBorders>
              <w:top w:val="nil"/>
              <w:left w:val="nil"/>
              <w:bottom w:val="single" w:sz="4" w:space="0" w:color="auto"/>
              <w:right w:val="single" w:sz="8" w:space="0" w:color="auto"/>
            </w:tcBorders>
            <w:shd w:val="clear" w:color="auto" w:fill="auto"/>
            <w:vAlign w:val="center"/>
            <w:hideMark/>
          </w:tcPr>
          <w:p w14:paraId="2C3713D0"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92.25%</w:t>
            </w:r>
          </w:p>
        </w:tc>
      </w:tr>
      <w:tr w:rsidR="007D5C93" w:rsidRPr="007D5C93" w14:paraId="321483EB"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0C76C720"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 Posterior Wall Dimensions</w:t>
            </w:r>
          </w:p>
        </w:tc>
        <w:tc>
          <w:tcPr>
            <w:tcW w:w="1592" w:type="dxa"/>
            <w:tcBorders>
              <w:top w:val="nil"/>
              <w:left w:val="nil"/>
              <w:bottom w:val="single" w:sz="4" w:space="0" w:color="auto"/>
              <w:right w:val="single" w:sz="4" w:space="0" w:color="auto"/>
            </w:tcBorders>
            <w:shd w:val="clear" w:color="auto" w:fill="auto"/>
            <w:noWrap/>
            <w:vAlign w:val="center"/>
            <w:hideMark/>
          </w:tcPr>
          <w:p w14:paraId="43C1C648"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1.36 ± 0.28</w:t>
            </w:r>
          </w:p>
        </w:tc>
        <w:tc>
          <w:tcPr>
            <w:tcW w:w="1592" w:type="dxa"/>
            <w:tcBorders>
              <w:top w:val="nil"/>
              <w:left w:val="nil"/>
              <w:bottom w:val="single" w:sz="4" w:space="0" w:color="auto"/>
              <w:right w:val="single" w:sz="4" w:space="0" w:color="auto"/>
            </w:tcBorders>
            <w:shd w:val="clear" w:color="auto" w:fill="auto"/>
            <w:vAlign w:val="center"/>
            <w:hideMark/>
          </w:tcPr>
          <w:p w14:paraId="7BE07FB6"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1.34 ± 0.31</w:t>
            </w:r>
          </w:p>
        </w:tc>
        <w:tc>
          <w:tcPr>
            <w:tcW w:w="1598" w:type="dxa"/>
            <w:tcBorders>
              <w:top w:val="nil"/>
              <w:left w:val="nil"/>
              <w:bottom w:val="single" w:sz="4" w:space="0" w:color="auto"/>
              <w:right w:val="single" w:sz="8" w:space="0" w:color="auto"/>
            </w:tcBorders>
            <w:shd w:val="clear" w:color="auto" w:fill="auto"/>
            <w:vAlign w:val="center"/>
            <w:hideMark/>
          </w:tcPr>
          <w:p w14:paraId="6E9054DD"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1.36 ± 0.27</w:t>
            </w:r>
          </w:p>
        </w:tc>
      </w:tr>
      <w:tr w:rsidR="007D5C93" w:rsidRPr="007D5C93" w14:paraId="33666445"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58159BEC" w14:textId="112CAAF5"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 xml:space="preserve">LV Posterior Wall Dimensions </w:t>
            </w:r>
            <w:r w:rsidRPr="004B22CD">
              <w:rPr>
                <w:rFonts w:cstheme="minorHAnsi"/>
                <w:sz w:val="24"/>
                <w:szCs w:val="24"/>
              </w:rPr>
              <w:t>≥</w:t>
            </w:r>
            <w:r w:rsidRPr="007D5C93">
              <w:rPr>
                <w:rFonts w:eastAsia="Times New Roman" w:cstheme="minorHAnsi"/>
                <w:color w:val="000000"/>
                <w:lang w:eastAsia="en-GB"/>
              </w:rPr>
              <w:t>15mm %</w:t>
            </w:r>
          </w:p>
        </w:tc>
        <w:tc>
          <w:tcPr>
            <w:tcW w:w="1592" w:type="dxa"/>
            <w:tcBorders>
              <w:top w:val="nil"/>
              <w:left w:val="nil"/>
              <w:bottom w:val="single" w:sz="4" w:space="0" w:color="auto"/>
              <w:right w:val="single" w:sz="4" w:space="0" w:color="auto"/>
            </w:tcBorders>
            <w:shd w:val="clear" w:color="auto" w:fill="auto"/>
            <w:noWrap/>
            <w:vAlign w:val="center"/>
            <w:hideMark/>
          </w:tcPr>
          <w:p w14:paraId="500B867F"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42.62%</w:t>
            </w:r>
          </w:p>
        </w:tc>
        <w:tc>
          <w:tcPr>
            <w:tcW w:w="1592" w:type="dxa"/>
            <w:tcBorders>
              <w:top w:val="nil"/>
              <w:left w:val="nil"/>
              <w:bottom w:val="single" w:sz="4" w:space="0" w:color="auto"/>
              <w:right w:val="single" w:sz="4" w:space="0" w:color="auto"/>
            </w:tcBorders>
            <w:shd w:val="clear" w:color="auto" w:fill="auto"/>
            <w:vAlign w:val="center"/>
            <w:hideMark/>
          </w:tcPr>
          <w:p w14:paraId="6533A73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38.77%</w:t>
            </w:r>
          </w:p>
        </w:tc>
        <w:tc>
          <w:tcPr>
            <w:tcW w:w="1598" w:type="dxa"/>
            <w:tcBorders>
              <w:top w:val="nil"/>
              <w:left w:val="nil"/>
              <w:bottom w:val="single" w:sz="4" w:space="0" w:color="auto"/>
              <w:right w:val="single" w:sz="8" w:space="0" w:color="auto"/>
            </w:tcBorders>
            <w:shd w:val="clear" w:color="auto" w:fill="auto"/>
            <w:vAlign w:val="center"/>
            <w:hideMark/>
          </w:tcPr>
          <w:p w14:paraId="09A25368"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43.89%</w:t>
            </w:r>
          </w:p>
        </w:tc>
      </w:tr>
      <w:tr w:rsidR="007D5C93" w:rsidRPr="007D5C93" w14:paraId="6ADDD2E9"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7A217A56"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 diastolic diameter</w:t>
            </w:r>
          </w:p>
        </w:tc>
        <w:tc>
          <w:tcPr>
            <w:tcW w:w="1592" w:type="dxa"/>
            <w:tcBorders>
              <w:top w:val="nil"/>
              <w:left w:val="nil"/>
              <w:bottom w:val="single" w:sz="4" w:space="0" w:color="auto"/>
              <w:right w:val="single" w:sz="4" w:space="0" w:color="auto"/>
            </w:tcBorders>
            <w:shd w:val="clear" w:color="auto" w:fill="auto"/>
            <w:noWrap/>
            <w:vAlign w:val="center"/>
            <w:hideMark/>
          </w:tcPr>
          <w:p w14:paraId="715F3C2F"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4.54 ± 0.79</w:t>
            </w:r>
          </w:p>
        </w:tc>
        <w:tc>
          <w:tcPr>
            <w:tcW w:w="1592" w:type="dxa"/>
            <w:tcBorders>
              <w:top w:val="nil"/>
              <w:left w:val="nil"/>
              <w:bottom w:val="single" w:sz="4" w:space="0" w:color="auto"/>
              <w:right w:val="single" w:sz="4" w:space="0" w:color="auto"/>
            </w:tcBorders>
            <w:shd w:val="clear" w:color="auto" w:fill="auto"/>
            <w:vAlign w:val="center"/>
            <w:hideMark/>
          </w:tcPr>
          <w:p w14:paraId="6D94DC85"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4.81 ± 0.82</w:t>
            </w:r>
          </w:p>
        </w:tc>
        <w:tc>
          <w:tcPr>
            <w:tcW w:w="1598" w:type="dxa"/>
            <w:tcBorders>
              <w:top w:val="nil"/>
              <w:left w:val="nil"/>
              <w:bottom w:val="single" w:sz="4" w:space="0" w:color="auto"/>
              <w:right w:val="single" w:sz="8" w:space="0" w:color="auto"/>
            </w:tcBorders>
            <w:shd w:val="clear" w:color="auto" w:fill="auto"/>
            <w:vAlign w:val="center"/>
            <w:hideMark/>
          </w:tcPr>
          <w:p w14:paraId="02DCC77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4.45± 0.76</w:t>
            </w:r>
          </w:p>
        </w:tc>
      </w:tr>
      <w:tr w:rsidR="007D5C93" w:rsidRPr="007D5C93" w14:paraId="09AF491B"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5AF11FF1"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 diastolic diameter &lt;5.5cm %</w:t>
            </w:r>
          </w:p>
        </w:tc>
        <w:tc>
          <w:tcPr>
            <w:tcW w:w="1592" w:type="dxa"/>
            <w:tcBorders>
              <w:top w:val="nil"/>
              <w:left w:val="nil"/>
              <w:bottom w:val="single" w:sz="4" w:space="0" w:color="auto"/>
              <w:right w:val="single" w:sz="4" w:space="0" w:color="auto"/>
            </w:tcBorders>
            <w:shd w:val="clear" w:color="auto" w:fill="auto"/>
            <w:noWrap/>
            <w:vAlign w:val="center"/>
            <w:hideMark/>
          </w:tcPr>
          <w:p w14:paraId="6F6355A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87.45%</w:t>
            </w:r>
          </w:p>
        </w:tc>
        <w:tc>
          <w:tcPr>
            <w:tcW w:w="1592" w:type="dxa"/>
            <w:tcBorders>
              <w:top w:val="nil"/>
              <w:left w:val="nil"/>
              <w:bottom w:val="single" w:sz="4" w:space="0" w:color="auto"/>
              <w:right w:val="single" w:sz="4" w:space="0" w:color="auto"/>
            </w:tcBorders>
            <w:shd w:val="clear" w:color="auto" w:fill="auto"/>
            <w:vAlign w:val="center"/>
            <w:hideMark/>
          </w:tcPr>
          <w:p w14:paraId="50DA30ED"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79.05%</w:t>
            </w:r>
          </w:p>
        </w:tc>
        <w:tc>
          <w:tcPr>
            <w:tcW w:w="1598" w:type="dxa"/>
            <w:tcBorders>
              <w:top w:val="nil"/>
              <w:left w:val="nil"/>
              <w:bottom w:val="single" w:sz="4" w:space="0" w:color="auto"/>
              <w:right w:val="single" w:sz="8" w:space="0" w:color="auto"/>
            </w:tcBorders>
            <w:shd w:val="clear" w:color="auto" w:fill="auto"/>
            <w:vAlign w:val="center"/>
            <w:hideMark/>
          </w:tcPr>
          <w:p w14:paraId="5D93C9BD"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90.21%</w:t>
            </w:r>
          </w:p>
        </w:tc>
      </w:tr>
      <w:tr w:rsidR="007D5C93" w:rsidRPr="007D5C93" w14:paraId="37BB1C09"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24944470"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Septal to Posterior Wall Ratio</w:t>
            </w:r>
          </w:p>
        </w:tc>
        <w:tc>
          <w:tcPr>
            <w:tcW w:w="1592" w:type="dxa"/>
            <w:tcBorders>
              <w:top w:val="nil"/>
              <w:left w:val="nil"/>
              <w:bottom w:val="single" w:sz="4" w:space="0" w:color="auto"/>
              <w:right w:val="single" w:sz="4" w:space="0" w:color="auto"/>
            </w:tcBorders>
            <w:shd w:val="clear" w:color="auto" w:fill="auto"/>
            <w:noWrap/>
            <w:vAlign w:val="center"/>
            <w:hideMark/>
          </w:tcPr>
          <w:p w14:paraId="671235E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1.26 ± 0.39</w:t>
            </w:r>
          </w:p>
        </w:tc>
        <w:tc>
          <w:tcPr>
            <w:tcW w:w="1592" w:type="dxa"/>
            <w:tcBorders>
              <w:top w:val="nil"/>
              <w:left w:val="nil"/>
              <w:bottom w:val="single" w:sz="4" w:space="0" w:color="auto"/>
              <w:right w:val="single" w:sz="4" w:space="0" w:color="auto"/>
            </w:tcBorders>
            <w:shd w:val="clear" w:color="auto" w:fill="auto"/>
            <w:vAlign w:val="center"/>
            <w:hideMark/>
          </w:tcPr>
          <w:p w14:paraId="40ABE2F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1.28± 0.43</w:t>
            </w:r>
          </w:p>
        </w:tc>
        <w:tc>
          <w:tcPr>
            <w:tcW w:w="1598" w:type="dxa"/>
            <w:tcBorders>
              <w:top w:val="nil"/>
              <w:left w:val="nil"/>
              <w:bottom w:val="single" w:sz="4" w:space="0" w:color="auto"/>
              <w:right w:val="single" w:sz="8" w:space="0" w:color="auto"/>
            </w:tcBorders>
            <w:shd w:val="clear" w:color="auto" w:fill="auto"/>
            <w:vAlign w:val="center"/>
            <w:hideMark/>
          </w:tcPr>
          <w:p w14:paraId="1D2F396F"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1.25 ± 0.37</w:t>
            </w:r>
          </w:p>
        </w:tc>
      </w:tr>
      <w:tr w:rsidR="007D5C93" w:rsidRPr="007D5C93" w14:paraId="41A99D45"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202F4E67"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Septal to Posterior Wall Ratio &gt;1.3 %</w:t>
            </w:r>
          </w:p>
        </w:tc>
        <w:tc>
          <w:tcPr>
            <w:tcW w:w="1592" w:type="dxa"/>
            <w:tcBorders>
              <w:top w:val="nil"/>
              <w:left w:val="nil"/>
              <w:bottom w:val="single" w:sz="4" w:space="0" w:color="auto"/>
              <w:right w:val="single" w:sz="4" w:space="0" w:color="auto"/>
            </w:tcBorders>
            <w:shd w:val="clear" w:color="auto" w:fill="auto"/>
            <w:noWrap/>
            <w:vAlign w:val="center"/>
            <w:hideMark/>
          </w:tcPr>
          <w:p w14:paraId="51DF83AF"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34.30%</w:t>
            </w:r>
          </w:p>
        </w:tc>
        <w:tc>
          <w:tcPr>
            <w:tcW w:w="1592" w:type="dxa"/>
            <w:tcBorders>
              <w:top w:val="nil"/>
              <w:left w:val="nil"/>
              <w:bottom w:val="single" w:sz="4" w:space="0" w:color="auto"/>
              <w:right w:val="single" w:sz="4" w:space="0" w:color="auto"/>
            </w:tcBorders>
            <w:shd w:val="clear" w:color="auto" w:fill="auto"/>
            <w:vAlign w:val="center"/>
            <w:hideMark/>
          </w:tcPr>
          <w:p w14:paraId="06CBA83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37.44%</w:t>
            </w:r>
          </w:p>
        </w:tc>
        <w:tc>
          <w:tcPr>
            <w:tcW w:w="1598" w:type="dxa"/>
            <w:tcBorders>
              <w:top w:val="nil"/>
              <w:left w:val="nil"/>
              <w:bottom w:val="single" w:sz="4" w:space="0" w:color="auto"/>
              <w:right w:val="single" w:sz="8" w:space="0" w:color="auto"/>
            </w:tcBorders>
            <w:shd w:val="clear" w:color="auto" w:fill="auto"/>
            <w:vAlign w:val="center"/>
            <w:hideMark/>
          </w:tcPr>
          <w:p w14:paraId="4E0219EE"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33.27%</w:t>
            </w:r>
          </w:p>
        </w:tc>
      </w:tr>
      <w:tr w:rsidR="007D5C93" w:rsidRPr="007D5C93" w14:paraId="70754754"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230349CB" w14:textId="5D4C9316" w:rsidR="007D5C93" w:rsidRPr="007D5C93" w:rsidRDefault="007D5C93" w:rsidP="007D5C93">
            <w:pPr>
              <w:spacing w:after="0" w:line="240" w:lineRule="auto"/>
              <w:rPr>
                <w:rFonts w:eastAsia="Times New Roman" w:cstheme="minorHAnsi"/>
                <w:color w:val="000000"/>
                <w:highlight w:val="yellow"/>
                <w:lang w:eastAsia="en-GB"/>
              </w:rPr>
            </w:pPr>
            <w:r w:rsidRPr="004B22CD">
              <w:rPr>
                <w:rFonts w:cstheme="minorHAnsi"/>
                <w:color w:val="000000"/>
              </w:rPr>
              <w:t>LVOT/AV Peak Gradient*</w:t>
            </w:r>
          </w:p>
        </w:tc>
        <w:tc>
          <w:tcPr>
            <w:tcW w:w="1592" w:type="dxa"/>
            <w:tcBorders>
              <w:top w:val="nil"/>
              <w:left w:val="nil"/>
              <w:bottom w:val="single" w:sz="4" w:space="0" w:color="auto"/>
              <w:right w:val="single" w:sz="4" w:space="0" w:color="auto"/>
            </w:tcBorders>
            <w:shd w:val="clear" w:color="auto" w:fill="auto"/>
            <w:noWrap/>
            <w:vAlign w:val="center"/>
            <w:hideMark/>
          </w:tcPr>
          <w:p w14:paraId="5032AF89"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22.34 ± 24.82</w:t>
            </w:r>
          </w:p>
        </w:tc>
        <w:tc>
          <w:tcPr>
            <w:tcW w:w="1592" w:type="dxa"/>
            <w:tcBorders>
              <w:top w:val="nil"/>
              <w:left w:val="nil"/>
              <w:bottom w:val="single" w:sz="4" w:space="0" w:color="auto"/>
              <w:right w:val="single" w:sz="4" w:space="0" w:color="auto"/>
            </w:tcBorders>
            <w:shd w:val="clear" w:color="auto" w:fill="auto"/>
            <w:vAlign w:val="center"/>
            <w:hideMark/>
          </w:tcPr>
          <w:p w14:paraId="4384FCDA"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17.82 ± 21.78</w:t>
            </w:r>
          </w:p>
        </w:tc>
        <w:tc>
          <w:tcPr>
            <w:tcW w:w="1598" w:type="dxa"/>
            <w:tcBorders>
              <w:top w:val="nil"/>
              <w:left w:val="nil"/>
              <w:bottom w:val="single" w:sz="4" w:space="0" w:color="auto"/>
              <w:right w:val="single" w:sz="8" w:space="0" w:color="auto"/>
            </w:tcBorders>
            <w:shd w:val="clear" w:color="auto" w:fill="auto"/>
            <w:vAlign w:val="center"/>
            <w:hideMark/>
          </w:tcPr>
          <w:p w14:paraId="5FE5081E"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24.09 ± 25.69</w:t>
            </w:r>
          </w:p>
        </w:tc>
      </w:tr>
      <w:tr w:rsidR="007D5C93" w:rsidRPr="007D5C93" w14:paraId="7CA95039"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5E3E58F3" w14:textId="4C70B613" w:rsidR="007D5C93" w:rsidRPr="007D5C93" w:rsidRDefault="007D5C93" w:rsidP="007D5C93">
            <w:pPr>
              <w:spacing w:after="0" w:line="240" w:lineRule="auto"/>
              <w:rPr>
                <w:rFonts w:eastAsia="Times New Roman" w:cstheme="minorHAnsi"/>
                <w:color w:val="000000"/>
                <w:highlight w:val="yellow"/>
                <w:lang w:eastAsia="en-GB"/>
              </w:rPr>
            </w:pPr>
            <w:r w:rsidRPr="004B22CD">
              <w:rPr>
                <w:rFonts w:cstheme="minorHAnsi"/>
                <w:color w:val="000000"/>
              </w:rPr>
              <w:t xml:space="preserve">LVOT/AV Peak Gradient* </w:t>
            </w:r>
            <w:r w:rsidRPr="004B22CD">
              <w:rPr>
                <w:rFonts w:cstheme="minorHAnsi"/>
                <w:sz w:val="24"/>
                <w:szCs w:val="24"/>
              </w:rPr>
              <w:t>≥</w:t>
            </w:r>
            <w:r w:rsidRPr="004B22CD">
              <w:rPr>
                <w:rFonts w:cstheme="minorHAnsi"/>
                <w:color w:val="000000"/>
              </w:rPr>
              <w:t>30mmHg %</w:t>
            </w:r>
          </w:p>
        </w:tc>
        <w:tc>
          <w:tcPr>
            <w:tcW w:w="1592" w:type="dxa"/>
            <w:tcBorders>
              <w:top w:val="nil"/>
              <w:left w:val="nil"/>
              <w:bottom w:val="single" w:sz="4" w:space="0" w:color="auto"/>
              <w:right w:val="single" w:sz="4" w:space="0" w:color="auto"/>
            </w:tcBorders>
            <w:shd w:val="clear" w:color="auto" w:fill="auto"/>
            <w:noWrap/>
            <w:vAlign w:val="center"/>
            <w:hideMark/>
          </w:tcPr>
          <w:p w14:paraId="18E750CD"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22.47%</w:t>
            </w:r>
          </w:p>
        </w:tc>
        <w:tc>
          <w:tcPr>
            <w:tcW w:w="1592" w:type="dxa"/>
            <w:tcBorders>
              <w:top w:val="nil"/>
              <w:left w:val="nil"/>
              <w:bottom w:val="single" w:sz="4" w:space="0" w:color="auto"/>
              <w:right w:val="single" w:sz="4" w:space="0" w:color="auto"/>
            </w:tcBorders>
            <w:shd w:val="clear" w:color="auto" w:fill="auto"/>
            <w:vAlign w:val="center"/>
            <w:hideMark/>
          </w:tcPr>
          <w:p w14:paraId="7D1378DF"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15.76%</w:t>
            </w:r>
          </w:p>
        </w:tc>
        <w:tc>
          <w:tcPr>
            <w:tcW w:w="1598" w:type="dxa"/>
            <w:tcBorders>
              <w:top w:val="nil"/>
              <w:left w:val="nil"/>
              <w:bottom w:val="single" w:sz="4" w:space="0" w:color="auto"/>
              <w:right w:val="single" w:sz="8" w:space="0" w:color="auto"/>
            </w:tcBorders>
            <w:shd w:val="clear" w:color="auto" w:fill="auto"/>
            <w:vAlign w:val="center"/>
            <w:hideMark/>
          </w:tcPr>
          <w:p w14:paraId="6F111040" w14:textId="77777777" w:rsidR="007D5C93" w:rsidRPr="007D5C93" w:rsidRDefault="007D5C93" w:rsidP="007D5C93">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25.06%</w:t>
            </w:r>
          </w:p>
        </w:tc>
      </w:tr>
      <w:tr w:rsidR="007D5C93" w:rsidRPr="007D5C93" w14:paraId="511A0DF8" w14:textId="77777777" w:rsidTr="00CB0A16">
        <w:trPr>
          <w:trHeight w:val="299"/>
        </w:trPr>
        <w:tc>
          <w:tcPr>
            <w:tcW w:w="5129" w:type="dxa"/>
            <w:tcBorders>
              <w:top w:val="nil"/>
              <w:left w:val="single" w:sz="8" w:space="0" w:color="auto"/>
              <w:bottom w:val="single" w:sz="4" w:space="0" w:color="auto"/>
              <w:right w:val="single" w:sz="4" w:space="0" w:color="auto"/>
            </w:tcBorders>
            <w:shd w:val="clear" w:color="auto" w:fill="auto"/>
            <w:vAlign w:val="center"/>
            <w:hideMark/>
          </w:tcPr>
          <w:p w14:paraId="067786FB"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LVEF</w:t>
            </w:r>
          </w:p>
        </w:tc>
        <w:tc>
          <w:tcPr>
            <w:tcW w:w="1592" w:type="dxa"/>
            <w:tcBorders>
              <w:top w:val="nil"/>
              <w:left w:val="nil"/>
              <w:bottom w:val="single" w:sz="4" w:space="0" w:color="auto"/>
              <w:right w:val="single" w:sz="4" w:space="0" w:color="auto"/>
            </w:tcBorders>
            <w:shd w:val="clear" w:color="auto" w:fill="auto"/>
            <w:noWrap/>
            <w:vAlign w:val="center"/>
            <w:hideMark/>
          </w:tcPr>
          <w:p w14:paraId="328210CB"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61.90 ± 14.58</w:t>
            </w:r>
          </w:p>
        </w:tc>
        <w:tc>
          <w:tcPr>
            <w:tcW w:w="1592" w:type="dxa"/>
            <w:tcBorders>
              <w:top w:val="nil"/>
              <w:left w:val="nil"/>
              <w:bottom w:val="single" w:sz="4" w:space="0" w:color="auto"/>
              <w:right w:val="single" w:sz="4" w:space="0" w:color="auto"/>
            </w:tcBorders>
            <w:shd w:val="clear" w:color="auto" w:fill="auto"/>
            <w:vAlign w:val="center"/>
            <w:hideMark/>
          </w:tcPr>
          <w:p w14:paraId="42CB0BC5"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42.58 ± 9.51</w:t>
            </w:r>
          </w:p>
        </w:tc>
        <w:tc>
          <w:tcPr>
            <w:tcW w:w="1598" w:type="dxa"/>
            <w:tcBorders>
              <w:top w:val="nil"/>
              <w:left w:val="nil"/>
              <w:bottom w:val="single" w:sz="4" w:space="0" w:color="auto"/>
              <w:right w:val="single" w:sz="8" w:space="0" w:color="auto"/>
            </w:tcBorders>
            <w:shd w:val="clear" w:color="auto" w:fill="auto"/>
            <w:vAlign w:val="center"/>
            <w:hideMark/>
          </w:tcPr>
          <w:p w14:paraId="028F5E1C"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68.24 ± 9.47</w:t>
            </w:r>
          </w:p>
        </w:tc>
      </w:tr>
      <w:tr w:rsidR="007D5C93" w:rsidRPr="007D5C93" w14:paraId="4B0757EC"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6F96CCF8"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Mitral E wave velocity,</w:t>
            </w:r>
          </w:p>
        </w:tc>
        <w:tc>
          <w:tcPr>
            <w:tcW w:w="1592" w:type="dxa"/>
            <w:tcBorders>
              <w:top w:val="nil"/>
              <w:left w:val="nil"/>
              <w:bottom w:val="single" w:sz="4" w:space="0" w:color="auto"/>
              <w:right w:val="single" w:sz="4" w:space="0" w:color="auto"/>
            </w:tcBorders>
            <w:shd w:val="clear" w:color="000000" w:fill="FFFFFF"/>
            <w:noWrap/>
            <w:vAlign w:val="center"/>
            <w:hideMark/>
          </w:tcPr>
          <w:p w14:paraId="074229D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85.97 ± 33.30</w:t>
            </w:r>
          </w:p>
        </w:tc>
        <w:tc>
          <w:tcPr>
            <w:tcW w:w="1592" w:type="dxa"/>
            <w:tcBorders>
              <w:top w:val="nil"/>
              <w:left w:val="nil"/>
              <w:bottom w:val="single" w:sz="4" w:space="0" w:color="auto"/>
              <w:right w:val="single" w:sz="4" w:space="0" w:color="auto"/>
            </w:tcBorders>
            <w:shd w:val="clear" w:color="000000" w:fill="FFFFFF"/>
            <w:vAlign w:val="center"/>
            <w:hideMark/>
          </w:tcPr>
          <w:p w14:paraId="104B5481"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87.82 ± 34.83</w:t>
            </w:r>
          </w:p>
        </w:tc>
        <w:tc>
          <w:tcPr>
            <w:tcW w:w="1598" w:type="dxa"/>
            <w:tcBorders>
              <w:top w:val="nil"/>
              <w:left w:val="nil"/>
              <w:bottom w:val="single" w:sz="4" w:space="0" w:color="auto"/>
              <w:right w:val="single" w:sz="8" w:space="0" w:color="auto"/>
            </w:tcBorders>
            <w:shd w:val="clear" w:color="000000" w:fill="FFFFFF"/>
            <w:vAlign w:val="center"/>
            <w:hideMark/>
          </w:tcPr>
          <w:p w14:paraId="34F58BF7"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85.42 ± 32.82</w:t>
            </w:r>
          </w:p>
        </w:tc>
      </w:tr>
      <w:tr w:rsidR="007D5C93" w:rsidRPr="007D5C93" w14:paraId="1DE615DD"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73C4E6BA"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Mitral E wave velocity &gt;90cm/s %</w:t>
            </w:r>
          </w:p>
        </w:tc>
        <w:tc>
          <w:tcPr>
            <w:tcW w:w="1592" w:type="dxa"/>
            <w:tcBorders>
              <w:top w:val="nil"/>
              <w:left w:val="nil"/>
              <w:bottom w:val="single" w:sz="4" w:space="0" w:color="auto"/>
              <w:right w:val="single" w:sz="4" w:space="0" w:color="auto"/>
            </w:tcBorders>
            <w:shd w:val="clear" w:color="000000" w:fill="FFFFFF"/>
            <w:noWrap/>
            <w:vAlign w:val="center"/>
            <w:hideMark/>
          </w:tcPr>
          <w:p w14:paraId="63D4604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36.77%</w:t>
            </w:r>
          </w:p>
        </w:tc>
        <w:tc>
          <w:tcPr>
            <w:tcW w:w="1592" w:type="dxa"/>
            <w:tcBorders>
              <w:top w:val="nil"/>
              <w:left w:val="nil"/>
              <w:bottom w:val="single" w:sz="4" w:space="0" w:color="auto"/>
              <w:right w:val="single" w:sz="4" w:space="0" w:color="auto"/>
            </w:tcBorders>
            <w:shd w:val="clear" w:color="000000" w:fill="FFFFFF"/>
            <w:vAlign w:val="center"/>
            <w:hideMark/>
          </w:tcPr>
          <w:p w14:paraId="657EADF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41.58%</w:t>
            </w:r>
          </w:p>
        </w:tc>
        <w:tc>
          <w:tcPr>
            <w:tcW w:w="1598" w:type="dxa"/>
            <w:tcBorders>
              <w:top w:val="nil"/>
              <w:left w:val="nil"/>
              <w:bottom w:val="single" w:sz="4" w:space="0" w:color="auto"/>
              <w:right w:val="single" w:sz="8" w:space="0" w:color="auto"/>
            </w:tcBorders>
            <w:shd w:val="clear" w:color="000000" w:fill="FFFFFF"/>
            <w:vAlign w:val="center"/>
            <w:hideMark/>
          </w:tcPr>
          <w:p w14:paraId="47E456E3"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35.35%</w:t>
            </w:r>
          </w:p>
        </w:tc>
      </w:tr>
      <w:tr w:rsidR="007D5C93" w:rsidRPr="007D5C93" w14:paraId="40D6F743"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1EE17922"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 septal e’ velocity</w:t>
            </w:r>
          </w:p>
        </w:tc>
        <w:tc>
          <w:tcPr>
            <w:tcW w:w="1592" w:type="dxa"/>
            <w:tcBorders>
              <w:top w:val="nil"/>
              <w:left w:val="nil"/>
              <w:bottom w:val="single" w:sz="4" w:space="0" w:color="auto"/>
              <w:right w:val="single" w:sz="4" w:space="0" w:color="auto"/>
            </w:tcBorders>
            <w:shd w:val="clear" w:color="000000" w:fill="FFFFFF"/>
            <w:noWrap/>
            <w:vAlign w:val="center"/>
            <w:hideMark/>
          </w:tcPr>
          <w:p w14:paraId="4AF0C985"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6.13 ± 2.21</w:t>
            </w:r>
          </w:p>
        </w:tc>
        <w:tc>
          <w:tcPr>
            <w:tcW w:w="1592" w:type="dxa"/>
            <w:tcBorders>
              <w:top w:val="nil"/>
              <w:left w:val="nil"/>
              <w:bottom w:val="single" w:sz="4" w:space="0" w:color="auto"/>
              <w:right w:val="single" w:sz="4" w:space="0" w:color="auto"/>
            </w:tcBorders>
            <w:shd w:val="clear" w:color="000000" w:fill="FFFFFF"/>
            <w:vAlign w:val="center"/>
            <w:hideMark/>
          </w:tcPr>
          <w:p w14:paraId="126FC7B0"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5.42 ± 2.10</w:t>
            </w:r>
          </w:p>
        </w:tc>
        <w:tc>
          <w:tcPr>
            <w:tcW w:w="1598" w:type="dxa"/>
            <w:tcBorders>
              <w:top w:val="nil"/>
              <w:left w:val="nil"/>
              <w:bottom w:val="single" w:sz="4" w:space="0" w:color="auto"/>
              <w:right w:val="single" w:sz="8" w:space="0" w:color="auto"/>
            </w:tcBorders>
            <w:shd w:val="clear" w:color="000000" w:fill="FFFFFF"/>
            <w:vAlign w:val="center"/>
            <w:hideMark/>
          </w:tcPr>
          <w:p w14:paraId="654C72A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6.30 ± 2.20</w:t>
            </w:r>
          </w:p>
        </w:tc>
      </w:tr>
      <w:tr w:rsidR="007D5C93" w:rsidRPr="007D5C93" w14:paraId="71F30A4C"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11D89E95"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LV septal e’ velocity &lt;9cm/s %</w:t>
            </w:r>
          </w:p>
        </w:tc>
        <w:tc>
          <w:tcPr>
            <w:tcW w:w="1592" w:type="dxa"/>
            <w:tcBorders>
              <w:top w:val="nil"/>
              <w:left w:val="nil"/>
              <w:bottom w:val="single" w:sz="4" w:space="0" w:color="auto"/>
              <w:right w:val="single" w:sz="4" w:space="0" w:color="auto"/>
            </w:tcBorders>
            <w:shd w:val="clear" w:color="000000" w:fill="FFFFFF"/>
            <w:noWrap/>
            <w:vAlign w:val="center"/>
            <w:hideMark/>
          </w:tcPr>
          <w:p w14:paraId="3E487A6B"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85.23%</w:t>
            </w:r>
          </w:p>
        </w:tc>
        <w:tc>
          <w:tcPr>
            <w:tcW w:w="1592" w:type="dxa"/>
            <w:tcBorders>
              <w:top w:val="nil"/>
              <w:left w:val="nil"/>
              <w:bottom w:val="single" w:sz="4" w:space="0" w:color="auto"/>
              <w:right w:val="single" w:sz="4" w:space="0" w:color="auto"/>
            </w:tcBorders>
            <w:shd w:val="clear" w:color="000000" w:fill="FFFFFF"/>
            <w:vAlign w:val="center"/>
            <w:hideMark/>
          </w:tcPr>
          <w:p w14:paraId="7D8D2EDD"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94.02%</w:t>
            </w:r>
          </w:p>
        </w:tc>
        <w:tc>
          <w:tcPr>
            <w:tcW w:w="1598" w:type="dxa"/>
            <w:tcBorders>
              <w:top w:val="nil"/>
              <w:left w:val="nil"/>
              <w:bottom w:val="single" w:sz="4" w:space="0" w:color="auto"/>
              <w:right w:val="single" w:sz="8" w:space="0" w:color="auto"/>
            </w:tcBorders>
            <w:shd w:val="clear" w:color="000000" w:fill="FFFFFF"/>
            <w:vAlign w:val="center"/>
            <w:hideMark/>
          </w:tcPr>
          <w:p w14:paraId="2C4BC5E1"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83.12%</w:t>
            </w:r>
          </w:p>
        </w:tc>
      </w:tr>
      <w:tr w:rsidR="007D5C93" w:rsidRPr="007D5C93" w14:paraId="62A15A7B"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13DF0358"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Mitral E:e’ ratio</w:t>
            </w:r>
          </w:p>
        </w:tc>
        <w:tc>
          <w:tcPr>
            <w:tcW w:w="1592" w:type="dxa"/>
            <w:tcBorders>
              <w:top w:val="nil"/>
              <w:left w:val="nil"/>
              <w:bottom w:val="single" w:sz="4" w:space="0" w:color="auto"/>
              <w:right w:val="single" w:sz="4" w:space="0" w:color="auto"/>
            </w:tcBorders>
            <w:shd w:val="clear" w:color="000000" w:fill="FFFFFF"/>
            <w:noWrap/>
            <w:vAlign w:val="center"/>
            <w:hideMark/>
          </w:tcPr>
          <w:p w14:paraId="6D8FF2A6"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14.46 ± 6.77</w:t>
            </w:r>
          </w:p>
        </w:tc>
        <w:tc>
          <w:tcPr>
            <w:tcW w:w="1592" w:type="dxa"/>
            <w:tcBorders>
              <w:top w:val="nil"/>
              <w:left w:val="nil"/>
              <w:bottom w:val="single" w:sz="4" w:space="0" w:color="auto"/>
              <w:right w:val="single" w:sz="4" w:space="0" w:color="auto"/>
            </w:tcBorders>
            <w:shd w:val="clear" w:color="000000" w:fill="FFFFFF"/>
            <w:vAlign w:val="center"/>
            <w:hideMark/>
          </w:tcPr>
          <w:p w14:paraId="465CC68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16.62 ± 8.28</w:t>
            </w:r>
          </w:p>
        </w:tc>
        <w:tc>
          <w:tcPr>
            <w:tcW w:w="1598" w:type="dxa"/>
            <w:tcBorders>
              <w:top w:val="nil"/>
              <w:left w:val="nil"/>
              <w:bottom w:val="single" w:sz="4" w:space="0" w:color="auto"/>
              <w:right w:val="single" w:sz="8" w:space="0" w:color="auto"/>
            </w:tcBorders>
            <w:shd w:val="clear" w:color="000000" w:fill="FFFFFF"/>
            <w:vAlign w:val="center"/>
            <w:hideMark/>
          </w:tcPr>
          <w:p w14:paraId="703955E6"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13.96 ± 6.26</w:t>
            </w:r>
          </w:p>
        </w:tc>
      </w:tr>
      <w:tr w:rsidR="007D5C93" w:rsidRPr="007D5C93" w14:paraId="4E374A31"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6318F952"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Mitral E:e’ ratio &gt;9 %</w:t>
            </w:r>
          </w:p>
        </w:tc>
        <w:tc>
          <w:tcPr>
            <w:tcW w:w="1592" w:type="dxa"/>
            <w:tcBorders>
              <w:top w:val="nil"/>
              <w:left w:val="nil"/>
              <w:bottom w:val="single" w:sz="4" w:space="0" w:color="auto"/>
              <w:right w:val="single" w:sz="4" w:space="0" w:color="auto"/>
            </w:tcBorders>
            <w:shd w:val="clear" w:color="000000" w:fill="FFFFFF"/>
            <w:noWrap/>
            <w:vAlign w:val="center"/>
            <w:hideMark/>
          </w:tcPr>
          <w:p w14:paraId="5021BA6C"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84.22%</w:t>
            </w:r>
          </w:p>
        </w:tc>
        <w:tc>
          <w:tcPr>
            <w:tcW w:w="1592" w:type="dxa"/>
            <w:tcBorders>
              <w:top w:val="nil"/>
              <w:left w:val="nil"/>
              <w:bottom w:val="single" w:sz="4" w:space="0" w:color="auto"/>
              <w:right w:val="single" w:sz="4" w:space="0" w:color="auto"/>
            </w:tcBorders>
            <w:shd w:val="clear" w:color="000000" w:fill="FFFFFF"/>
            <w:vAlign w:val="center"/>
            <w:hideMark/>
          </w:tcPr>
          <w:p w14:paraId="38F98FD6"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87.34%</w:t>
            </w:r>
          </w:p>
        </w:tc>
        <w:tc>
          <w:tcPr>
            <w:tcW w:w="1598" w:type="dxa"/>
            <w:tcBorders>
              <w:top w:val="nil"/>
              <w:left w:val="nil"/>
              <w:bottom w:val="single" w:sz="4" w:space="0" w:color="auto"/>
              <w:right w:val="single" w:sz="8" w:space="0" w:color="auto"/>
            </w:tcBorders>
            <w:shd w:val="clear" w:color="000000" w:fill="FFFFFF"/>
            <w:vAlign w:val="center"/>
            <w:hideMark/>
          </w:tcPr>
          <w:p w14:paraId="590FCCF9"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83.49%</w:t>
            </w:r>
          </w:p>
        </w:tc>
      </w:tr>
      <w:tr w:rsidR="007D5C93" w:rsidRPr="007D5C93" w14:paraId="26957080"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3A261C8F"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Left atrial volume index, ml/m</w:t>
            </w:r>
            <w:r w:rsidRPr="007D5C93">
              <w:rPr>
                <w:rFonts w:eastAsia="Times New Roman" w:cstheme="minorHAnsi"/>
                <w:color w:val="000000"/>
                <w:sz w:val="20"/>
                <w:szCs w:val="20"/>
                <w:vertAlign w:val="superscript"/>
                <w:lang w:eastAsia="en-GB"/>
              </w:rPr>
              <w:t>2</w:t>
            </w:r>
          </w:p>
        </w:tc>
        <w:tc>
          <w:tcPr>
            <w:tcW w:w="1592" w:type="dxa"/>
            <w:tcBorders>
              <w:top w:val="nil"/>
              <w:left w:val="nil"/>
              <w:bottom w:val="single" w:sz="4" w:space="0" w:color="auto"/>
              <w:right w:val="single" w:sz="4" w:space="0" w:color="auto"/>
            </w:tcBorders>
            <w:shd w:val="clear" w:color="000000" w:fill="FFFFFF"/>
            <w:noWrap/>
            <w:vAlign w:val="center"/>
            <w:hideMark/>
          </w:tcPr>
          <w:p w14:paraId="63225CDC"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60.14 ± 35.70</w:t>
            </w:r>
          </w:p>
        </w:tc>
        <w:tc>
          <w:tcPr>
            <w:tcW w:w="1592" w:type="dxa"/>
            <w:tcBorders>
              <w:top w:val="nil"/>
              <w:left w:val="nil"/>
              <w:bottom w:val="single" w:sz="4" w:space="0" w:color="auto"/>
              <w:right w:val="single" w:sz="4" w:space="0" w:color="auto"/>
            </w:tcBorders>
            <w:shd w:val="clear" w:color="000000" w:fill="FFFFFF"/>
            <w:vAlign w:val="center"/>
            <w:hideMark/>
          </w:tcPr>
          <w:p w14:paraId="385145A1"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57.18 ± 31.17</w:t>
            </w:r>
          </w:p>
        </w:tc>
        <w:tc>
          <w:tcPr>
            <w:tcW w:w="1598" w:type="dxa"/>
            <w:tcBorders>
              <w:top w:val="nil"/>
              <w:left w:val="nil"/>
              <w:bottom w:val="single" w:sz="4" w:space="0" w:color="auto"/>
              <w:right w:val="single" w:sz="8" w:space="0" w:color="auto"/>
            </w:tcBorders>
            <w:shd w:val="clear" w:color="000000" w:fill="FFFFFF"/>
            <w:vAlign w:val="center"/>
            <w:hideMark/>
          </w:tcPr>
          <w:p w14:paraId="20E905EF"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60.98 ± 36.84</w:t>
            </w:r>
          </w:p>
        </w:tc>
      </w:tr>
      <w:tr w:rsidR="007D5C93" w:rsidRPr="007D5C93" w14:paraId="70975853" w14:textId="77777777" w:rsidTr="00CB0A16">
        <w:trPr>
          <w:trHeight w:val="299"/>
        </w:trPr>
        <w:tc>
          <w:tcPr>
            <w:tcW w:w="5129" w:type="dxa"/>
            <w:tcBorders>
              <w:top w:val="nil"/>
              <w:left w:val="single" w:sz="8" w:space="0" w:color="auto"/>
              <w:bottom w:val="single" w:sz="4" w:space="0" w:color="auto"/>
              <w:right w:val="single" w:sz="4" w:space="0" w:color="auto"/>
            </w:tcBorders>
            <w:shd w:val="clear" w:color="000000" w:fill="FFFFFF"/>
            <w:vAlign w:val="center"/>
            <w:hideMark/>
          </w:tcPr>
          <w:p w14:paraId="4E09ADB3"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Left atrial volume index, &gt;34ml/m</w:t>
            </w:r>
            <w:r w:rsidRPr="007D5C93">
              <w:rPr>
                <w:rFonts w:eastAsia="Times New Roman" w:cstheme="minorHAnsi"/>
                <w:color w:val="000000"/>
                <w:sz w:val="20"/>
                <w:szCs w:val="20"/>
                <w:vertAlign w:val="superscript"/>
                <w:lang w:eastAsia="en-GB"/>
              </w:rPr>
              <w:t>2</w:t>
            </w:r>
            <w:r w:rsidRPr="007D5C93">
              <w:rPr>
                <w:rFonts w:eastAsia="Times New Roman" w:cstheme="minorHAnsi"/>
                <w:color w:val="000000"/>
                <w:lang w:eastAsia="en-GB"/>
              </w:rPr>
              <w:t> %</w:t>
            </w:r>
          </w:p>
        </w:tc>
        <w:tc>
          <w:tcPr>
            <w:tcW w:w="1592" w:type="dxa"/>
            <w:tcBorders>
              <w:top w:val="nil"/>
              <w:left w:val="nil"/>
              <w:bottom w:val="single" w:sz="4" w:space="0" w:color="auto"/>
              <w:right w:val="single" w:sz="4" w:space="0" w:color="auto"/>
            </w:tcBorders>
            <w:shd w:val="clear" w:color="000000" w:fill="FFFFFF"/>
            <w:noWrap/>
            <w:vAlign w:val="center"/>
            <w:hideMark/>
          </w:tcPr>
          <w:p w14:paraId="645985A4"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76.91%</w:t>
            </w:r>
          </w:p>
        </w:tc>
        <w:tc>
          <w:tcPr>
            <w:tcW w:w="1592" w:type="dxa"/>
            <w:tcBorders>
              <w:top w:val="nil"/>
              <w:left w:val="nil"/>
              <w:bottom w:val="single" w:sz="4" w:space="0" w:color="auto"/>
              <w:right w:val="single" w:sz="4" w:space="0" w:color="auto"/>
            </w:tcBorders>
            <w:shd w:val="clear" w:color="000000" w:fill="FFFFFF"/>
            <w:vAlign w:val="center"/>
            <w:hideMark/>
          </w:tcPr>
          <w:p w14:paraId="5968C7B5"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81.97%</w:t>
            </w:r>
          </w:p>
        </w:tc>
        <w:tc>
          <w:tcPr>
            <w:tcW w:w="1598" w:type="dxa"/>
            <w:tcBorders>
              <w:top w:val="nil"/>
              <w:left w:val="nil"/>
              <w:bottom w:val="single" w:sz="4" w:space="0" w:color="auto"/>
              <w:right w:val="single" w:sz="8" w:space="0" w:color="auto"/>
            </w:tcBorders>
            <w:shd w:val="clear" w:color="000000" w:fill="FFFFFF"/>
            <w:vAlign w:val="center"/>
            <w:hideMark/>
          </w:tcPr>
          <w:p w14:paraId="23C25082"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75.47%</w:t>
            </w:r>
          </w:p>
        </w:tc>
      </w:tr>
      <w:tr w:rsidR="007D5C93" w:rsidRPr="007D5C93" w14:paraId="24A8FD8A" w14:textId="77777777" w:rsidTr="00CB0A16">
        <w:trPr>
          <w:trHeight w:val="317"/>
        </w:trPr>
        <w:tc>
          <w:tcPr>
            <w:tcW w:w="5129" w:type="dxa"/>
            <w:tcBorders>
              <w:top w:val="nil"/>
              <w:left w:val="single" w:sz="8" w:space="0" w:color="auto"/>
              <w:bottom w:val="single" w:sz="8" w:space="0" w:color="auto"/>
              <w:right w:val="single" w:sz="4" w:space="0" w:color="auto"/>
            </w:tcBorders>
            <w:shd w:val="clear" w:color="000000" w:fill="FFFFFF"/>
            <w:vAlign w:val="center"/>
            <w:hideMark/>
          </w:tcPr>
          <w:p w14:paraId="792464D4" w14:textId="77777777" w:rsidR="007D5C93" w:rsidRPr="007D5C93" w:rsidRDefault="007D5C93" w:rsidP="00DE0218">
            <w:pPr>
              <w:spacing w:after="0" w:line="240" w:lineRule="auto"/>
              <w:rPr>
                <w:rFonts w:eastAsia="Times New Roman" w:cstheme="minorHAnsi"/>
                <w:color w:val="000000"/>
                <w:lang w:eastAsia="en-GB"/>
              </w:rPr>
            </w:pPr>
            <w:r w:rsidRPr="007D5C93">
              <w:rPr>
                <w:rFonts w:eastAsia="Times New Roman" w:cstheme="minorHAnsi"/>
                <w:color w:val="000000"/>
                <w:lang w:eastAsia="en-GB"/>
              </w:rPr>
              <w:t>Moderate-to-Severe mitral regurgitation, %</w:t>
            </w:r>
          </w:p>
        </w:tc>
        <w:tc>
          <w:tcPr>
            <w:tcW w:w="1592" w:type="dxa"/>
            <w:tcBorders>
              <w:top w:val="nil"/>
              <w:left w:val="nil"/>
              <w:bottom w:val="single" w:sz="8" w:space="0" w:color="auto"/>
              <w:right w:val="single" w:sz="4" w:space="0" w:color="auto"/>
            </w:tcBorders>
            <w:shd w:val="clear" w:color="000000" w:fill="FFFFFF"/>
            <w:noWrap/>
            <w:vAlign w:val="center"/>
            <w:hideMark/>
          </w:tcPr>
          <w:p w14:paraId="043D22D0"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15.08%</w:t>
            </w:r>
          </w:p>
        </w:tc>
        <w:tc>
          <w:tcPr>
            <w:tcW w:w="1592" w:type="dxa"/>
            <w:tcBorders>
              <w:top w:val="nil"/>
              <w:left w:val="nil"/>
              <w:bottom w:val="single" w:sz="8" w:space="0" w:color="auto"/>
              <w:right w:val="single" w:sz="4" w:space="0" w:color="auto"/>
            </w:tcBorders>
            <w:shd w:val="clear" w:color="000000" w:fill="FFFFFF"/>
            <w:vAlign w:val="center"/>
            <w:hideMark/>
          </w:tcPr>
          <w:p w14:paraId="386D3A8A"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23.10%</w:t>
            </w:r>
          </w:p>
        </w:tc>
        <w:tc>
          <w:tcPr>
            <w:tcW w:w="1598" w:type="dxa"/>
            <w:tcBorders>
              <w:top w:val="nil"/>
              <w:left w:val="nil"/>
              <w:bottom w:val="single" w:sz="8" w:space="0" w:color="auto"/>
              <w:right w:val="single" w:sz="8" w:space="0" w:color="auto"/>
            </w:tcBorders>
            <w:shd w:val="clear" w:color="000000" w:fill="FFFFFF"/>
            <w:vAlign w:val="center"/>
            <w:hideMark/>
          </w:tcPr>
          <w:p w14:paraId="516B83B8" w14:textId="77777777" w:rsidR="007D5C93" w:rsidRPr="007D5C93" w:rsidRDefault="007D5C93" w:rsidP="00DE0218">
            <w:pPr>
              <w:spacing w:after="0" w:line="240" w:lineRule="auto"/>
              <w:jc w:val="center"/>
              <w:rPr>
                <w:rFonts w:eastAsia="Times New Roman" w:cstheme="minorHAnsi"/>
                <w:color w:val="000000"/>
                <w:lang w:eastAsia="en-GB"/>
              </w:rPr>
            </w:pPr>
            <w:r w:rsidRPr="007D5C93">
              <w:rPr>
                <w:rFonts w:eastAsia="Times New Roman" w:cstheme="minorHAnsi"/>
                <w:color w:val="000000"/>
                <w:lang w:eastAsia="en-GB"/>
              </w:rPr>
              <w:t>12.40%</w:t>
            </w:r>
          </w:p>
        </w:tc>
      </w:tr>
    </w:tbl>
    <w:p w14:paraId="50092621" w14:textId="730A1EA7" w:rsidR="007D5C93" w:rsidRDefault="007D5C93" w:rsidP="0047533C">
      <w:pPr>
        <w:spacing w:after="0" w:line="360" w:lineRule="auto"/>
        <w:rPr>
          <w:rFonts w:cstheme="minorHAnsi"/>
        </w:rPr>
      </w:pPr>
    </w:p>
    <w:p w14:paraId="5A205CA9" w14:textId="1AD04D02" w:rsidR="007D5C93" w:rsidRDefault="007D5C93" w:rsidP="0047533C">
      <w:pPr>
        <w:spacing w:after="0" w:line="360" w:lineRule="auto"/>
        <w:rPr>
          <w:rFonts w:cstheme="minorHAnsi"/>
        </w:rPr>
      </w:pPr>
      <w:r w:rsidRPr="00F32DFA">
        <w:rPr>
          <w:rFonts w:cstheme="minorHAnsi"/>
          <w:b/>
          <w:bCs/>
        </w:rPr>
        <w:t>Legend</w:t>
      </w:r>
      <w:r w:rsidRPr="00F32DFA">
        <w:rPr>
          <w:rFonts w:cstheme="minorHAnsi"/>
        </w:rPr>
        <w:t xml:space="preserve">: *Continuous-Wave Doppler Evaluation of LVOT/AV velocities; </w:t>
      </w:r>
      <w:r>
        <w:rPr>
          <w:rFonts w:cstheme="minorHAnsi"/>
        </w:rPr>
        <w:t>left ventricular ejection fraction (LVEF)</w:t>
      </w:r>
    </w:p>
    <w:p w14:paraId="6646E3E0" w14:textId="77777777" w:rsidR="007D5C93" w:rsidRDefault="007D5C93" w:rsidP="004B22CD">
      <w:pPr>
        <w:spacing w:after="0" w:line="360" w:lineRule="auto"/>
        <w:rPr>
          <w:rFonts w:cstheme="minorHAnsi"/>
        </w:rPr>
      </w:pPr>
    </w:p>
    <w:p w14:paraId="50A4F925" w14:textId="6CCAC7CB" w:rsidR="00EC0279" w:rsidRDefault="00EC0279" w:rsidP="00EC0279">
      <w:pPr>
        <w:rPr>
          <w:b/>
          <w:bCs/>
          <w:smallCaps/>
          <w:noProof/>
          <w:color w:val="7030A0"/>
          <w:sz w:val="28"/>
          <w:szCs w:val="28"/>
        </w:rPr>
      </w:pPr>
    </w:p>
    <w:p w14:paraId="400884C4" w14:textId="77777777" w:rsidR="00EC0279" w:rsidRDefault="00EC0279">
      <w:pPr>
        <w:rPr>
          <w:rFonts w:cstheme="minorHAnsi"/>
          <w:b/>
          <w:bCs/>
          <w:noProof/>
          <w:sz w:val="28"/>
          <w:szCs w:val="28"/>
        </w:rPr>
      </w:pPr>
      <w:r>
        <w:rPr>
          <w:rFonts w:cstheme="minorHAnsi"/>
          <w:b/>
          <w:bCs/>
          <w:noProof/>
          <w:sz w:val="28"/>
          <w:szCs w:val="28"/>
        </w:rPr>
        <w:br w:type="page"/>
      </w:r>
    </w:p>
    <w:p w14:paraId="43E86E33" w14:textId="19F3CC78" w:rsidR="008F341E" w:rsidRPr="00E35525" w:rsidRDefault="009660E1" w:rsidP="00031351">
      <w:pPr>
        <w:spacing w:line="240" w:lineRule="auto"/>
        <w:ind w:left="-426"/>
        <w:rPr>
          <w:rFonts w:cstheme="minorHAnsi"/>
          <w:b/>
          <w:bCs/>
          <w:noProof/>
          <w:sz w:val="28"/>
          <w:szCs w:val="28"/>
        </w:rPr>
      </w:pPr>
      <w:r w:rsidRPr="008F341E">
        <w:rPr>
          <w:rFonts w:cstheme="minorHAnsi"/>
          <w:b/>
          <w:bCs/>
          <w:noProof/>
          <w:sz w:val="28"/>
          <w:szCs w:val="28"/>
        </w:rPr>
        <w:lastRenderedPageBreak/>
        <w:t>Supplementary Table S</w:t>
      </w:r>
      <w:r w:rsidR="007D5C93">
        <w:rPr>
          <w:rFonts w:cstheme="minorHAnsi"/>
          <w:b/>
          <w:bCs/>
          <w:noProof/>
          <w:sz w:val="28"/>
          <w:szCs w:val="28"/>
        </w:rPr>
        <w:t>5</w:t>
      </w:r>
      <w:r w:rsidR="009833B3" w:rsidRPr="008F341E">
        <w:rPr>
          <w:rFonts w:cstheme="minorHAnsi"/>
          <w:b/>
          <w:bCs/>
          <w:noProof/>
          <w:sz w:val="28"/>
          <w:szCs w:val="28"/>
        </w:rPr>
        <w:t xml:space="preserve">. </w:t>
      </w:r>
      <w:r w:rsidR="008F341E" w:rsidRPr="00E35525">
        <w:rPr>
          <w:rFonts w:cstheme="minorHAnsi"/>
          <w:b/>
          <w:bCs/>
          <w:noProof/>
          <w:sz w:val="28"/>
          <w:szCs w:val="28"/>
        </w:rPr>
        <w:t xml:space="preserve">Characteristics of </w:t>
      </w:r>
      <w:r w:rsidR="00D21E07" w:rsidRPr="00D21E07">
        <w:rPr>
          <w:rFonts w:cstheme="minorHAnsi"/>
          <w:b/>
          <w:bCs/>
          <w:noProof/>
          <w:sz w:val="28"/>
          <w:szCs w:val="28"/>
        </w:rPr>
        <w:t xml:space="preserve">phenotypical </w:t>
      </w:r>
      <w:r w:rsidR="008F341E" w:rsidRPr="00E35525">
        <w:rPr>
          <w:rFonts w:cstheme="minorHAnsi"/>
          <w:b/>
          <w:bCs/>
          <w:noProof/>
          <w:sz w:val="28"/>
          <w:szCs w:val="28"/>
        </w:rPr>
        <w:t xml:space="preserve">HCM Cases within the NEDA </w:t>
      </w:r>
      <w:r w:rsidR="007D5C93">
        <w:rPr>
          <w:rFonts w:cstheme="minorHAnsi"/>
          <w:b/>
          <w:bCs/>
          <w:noProof/>
          <w:sz w:val="28"/>
          <w:szCs w:val="28"/>
        </w:rPr>
        <w:t>c</w:t>
      </w:r>
      <w:r w:rsidR="008F341E" w:rsidRPr="00E35525">
        <w:rPr>
          <w:rFonts w:cstheme="minorHAnsi"/>
          <w:b/>
          <w:bCs/>
          <w:noProof/>
          <w:sz w:val="28"/>
          <w:szCs w:val="28"/>
        </w:rPr>
        <w:t>ohort</w:t>
      </w:r>
      <w:r w:rsidR="008F341E">
        <w:rPr>
          <w:rFonts w:cstheme="minorHAnsi"/>
          <w:b/>
          <w:bCs/>
          <w:noProof/>
          <w:sz w:val="28"/>
          <w:szCs w:val="28"/>
        </w:rPr>
        <w:t xml:space="preserve"> detailing aortic stenosis interaction with oHCM</w:t>
      </w:r>
    </w:p>
    <w:tbl>
      <w:tblPr>
        <w:tblW w:w="11094" w:type="dxa"/>
        <w:tblInd w:w="-998" w:type="dxa"/>
        <w:tblLook w:val="04A0" w:firstRow="1" w:lastRow="0" w:firstColumn="1" w:lastColumn="0" w:noHBand="0" w:noVBand="1"/>
      </w:tblPr>
      <w:tblGrid>
        <w:gridCol w:w="4180"/>
        <w:gridCol w:w="1491"/>
        <w:gridCol w:w="1418"/>
        <w:gridCol w:w="2000"/>
        <w:gridCol w:w="2005"/>
      </w:tblGrid>
      <w:tr w:rsidR="009660E1" w:rsidRPr="009660E1" w14:paraId="1FBB2FB2" w14:textId="77777777" w:rsidTr="00811AAC">
        <w:trPr>
          <w:trHeight w:val="288"/>
        </w:trPr>
        <w:tc>
          <w:tcPr>
            <w:tcW w:w="4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E6D2B"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 </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EE98E" w14:textId="7C50356B" w:rsidR="009660E1" w:rsidRPr="008F341E" w:rsidRDefault="009660E1" w:rsidP="009660E1">
            <w:pPr>
              <w:spacing w:after="0" w:line="240" w:lineRule="auto"/>
              <w:jc w:val="center"/>
              <w:rPr>
                <w:rFonts w:ascii="Calibri" w:eastAsia="Times New Roman" w:hAnsi="Calibri" w:cs="Calibri"/>
                <w:b/>
                <w:bCs/>
                <w:color w:val="000000"/>
                <w:lang w:eastAsia="en-AU"/>
              </w:rPr>
            </w:pPr>
            <w:r w:rsidRPr="008F341E">
              <w:rPr>
                <w:rFonts w:ascii="Calibri" w:eastAsia="Times New Roman" w:hAnsi="Calibri" w:cs="Calibri"/>
                <w:b/>
                <w:bCs/>
                <w:color w:val="000000"/>
                <w:lang w:eastAsia="en-AU"/>
              </w:rPr>
              <w:t>All NEDA Patients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2CBBE" w14:textId="77777777" w:rsidR="009660E1" w:rsidRPr="008F341E" w:rsidRDefault="009660E1" w:rsidP="009660E1">
            <w:pPr>
              <w:spacing w:after="0" w:line="240" w:lineRule="auto"/>
              <w:jc w:val="center"/>
              <w:rPr>
                <w:rFonts w:ascii="Calibri" w:eastAsia="Times New Roman" w:hAnsi="Calibri" w:cs="Calibri"/>
                <w:b/>
                <w:bCs/>
                <w:color w:val="000000"/>
                <w:lang w:eastAsia="en-AU"/>
              </w:rPr>
            </w:pPr>
            <w:r w:rsidRPr="008F341E">
              <w:rPr>
                <w:rFonts w:ascii="Calibri" w:eastAsia="Times New Roman" w:hAnsi="Calibri" w:cs="Calibri"/>
                <w:b/>
                <w:bCs/>
                <w:color w:val="000000"/>
                <w:lang w:eastAsia="en-AU"/>
              </w:rPr>
              <w:t>LVOT and AV Subgroup*</w:t>
            </w:r>
          </w:p>
        </w:tc>
        <w:tc>
          <w:tcPr>
            <w:tcW w:w="4005" w:type="dxa"/>
            <w:gridSpan w:val="2"/>
            <w:tcBorders>
              <w:top w:val="single" w:sz="4" w:space="0" w:color="auto"/>
              <w:left w:val="nil"/>
              <w:bottom w:val="single" w:sz="4" w:space="0" w:color="auto"/>
              <w:right w:val="single" w:sz="4" w:space="0" w:color="000000"/>
            </w:tcBorders>
            <w:shd w:val="clear" w:color="auto" w:fill="auto"/>
            <w:vAlign w:val="center"/>
            <w:hideMark/>
          </w:tcPr>
          <w:p w14:paraId="0F2F2C17" w14:textId="77777777" w:rsidR="009660E1" w:rsidRPr="008F341E" w:rsidRDefault="009660E1" w:rsidP="009660E1">
            <w:pPr>
              <w:spacing w:after="0" w:line="240" w:lineRule="auto"/>
              <w:jc w:val="center"/>
              <w:rPr>
                <w:rFonts w:ascii="Calibri" w:eastAsia="Times New Roman" w:hAnsi="Calibri" w:cs="Calibri"/>
                <w:b/>
                <w:bCs/>
                <w:color w:val="000000"/>
                <w:lang w:eastAsia="en-AU"/>
              </w:rPr>
            </w:pPr>
            <w:r w:rsidRPr="008F341E">
              <w:rPr>
                <w:rFonts w:ascii="Calibri" w:eastAsia="Times New Roman" w:hAnsi="Calibri" w:cs="Calibri"/>
                <w:b/>
                <w:bCs/>
                <w:color w:val="000000"/>
                <w:lang w:val="en-GB" w:eastAsia="en-AU"/>
              </w:rPr>
              <w:t>oHCM</w:t>
            </w:r>
          </w:p>
        </w:tc>
      </w:tr>
      <w:tr w:rsidR="009660E1" w:rsidRPr="009660E1" w14:paraId="071D4CEC" w14:textId="77777777" w:rsidTr="00811AAC">
        <w:trPr>
          <w:trHeight w:val="864"/>
        </w:trPr>
        <w:tc>
          <w:tcPr>
            <w:tcW w:w="4180" w:type="dxa"/>
            <w:vMerge/>
            <w:tcBorders>
              <w:top w:val="single" w:sz="4" w:space="0" w:color="auto"/>
              <w:left w:val="single" w:sz="4" w:space="0" w:color="auto"/>
              <w:bottom w:val="single" w:sz="4" w:space="0" w:color="auto"/>
              <w:right w:val="single" w:sz="4" w:space="0" w:color="auto"/>
            </w:tcBorders>
            <w:vAlign w:val="center"/>
            <w:hideMark/>
          </w:tcPr>
          <w:p w14:paraId="6B218220" w14:textId="77777777" w:rsidR="009660E1" w:rsidRPr="009660E1" w:rsidRDefault="009660E1" w:rsidP="009660E1">
            <w:pPr>
              <w:spacing w:after="0" w:line="240" w:lineRule="auto"/>
              <w:rPr>
                <w:rFonts w:ascii="Calibri" w:eastAsia="Times New Roman" w:hAnsi="Calibri" w:cs="Calibri"/>
                <w:color w:val="000000"/>
                <w:lang w:eastAsia="en-AU"/>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7F89E3E2" w14:textId="77777777" w:rsidR="009660E1" w:rsidRPr="009660E1" w:rsidRDefault="009660E1" w:rsidP="009660E1">
            <w:pPr>
              <w:spacing w:after="0" w:line="240" w:lineRule="auto"/>
              <w:jc w:val="center"/>
              <w:rPr>
                <w:rFonts w:ascii="Calibri" w:eastAsia="Times New Roman" w:hAnsi="Calibri" w:cs="Calibri"/>
                <w:color w:val="000000"/>
                <w:lang w:eastAsia="en-A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7F8426B" w14:textId="77777777" w:rsidR="009660E1" w:rsidRPr="009660E1" w:rsidRDefault="009660E1" w:rsidP="009660E1">
            <w:pPr>
              <w:spacing w:after="0" w:line="240" w:lineRule="auto"/>
              <w:jc w:val="center"/>
              <w:rPr>
                <w:rFonts w:ascii="Calibri" w:eastAsia="Times New Roman" w:hAnsi="Calibri" w:cs="Calibri"/>
                <w:color w:val="000000"/>
                <w:lang w:eastAsia="en-AU"/>
              </w:rPr>
            </w:pPr>
          </w:p>
        </w:tc>
        <w:tc>
          <w:tcPr>
            <w:tcW w:w="2000" w:type="dxa"/>
            <w:tcBorders>
              <w:top w:val="nil"/>
              <w:left w:val="nil"/>
              <w:bottom w:val="single" w:sz="4" w:space="0" w:color="auto"/>
              <w:right w:val="single" w:sz="4" w:space="0" w:color="auto"/>
            </w:tcBorders>
            <w:shd w:val="clear" w:color="auto" w:fill="auto"/>
            <w:vAlign w:val="center"/>
            <w:hideMark/>
          </w:tcPr>
          <w:p w14:paraId="3A1903AC"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val="en-GB" w:eastAsia="en-AU"/>
              </w:rPr>
              <w:t>High AV gradients and normal LVOT velocities #</w:t>
            </w:r>
          </w:p>
        </w:tc>
        <w:tc>
          <w:tcPr>
            <w:tcW w:w="2005" w:type="dxa"/>
            <w:tcBorders>
              <w:top w:val="nil"/>
              <w:left w:val="nil"/>
              <w:bottom w:val="single" w:sz="4" w:space="0" w:color="auto"/>
              <w:right w:val="single" w:sz="4" w:space="0" w:color="auto"/>
            </w:tcBorders>
            <w:shd w:val="clear" w:color="auto" w:fill="auto"/>
            <w:vAlign w:val="center"/>
            <w:hideMark/>
          </w:tcPr>
          <w:p w14:paraId="6CAEC08A"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val="en-GB" w:eastAsia="en-AU"/>
              </w:rPr>
              <w:t>High AV gradients and elevated LVOT velocities ǂ</w:t>
            </w:r>
          </w:p>
        </w:tc>
      </w:tr>
      <w:tr w:rsidR="009660E1" w:rsidRPr="009660E1" w14:paraId="7C462CA9"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A1CA4AC"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 </w:t>
            </w:r>
          </w:p>
        </w:tc>
        <w:tc>
          <w:tcPr>
            <w:tcW w:w="1491" w:type="dxa"/>
            <w:tcBorders>
              <w:top w:val="nil"/>
              <w:left w:val="nil"/>
              <w:bottom w:val="single" w:sz="4" w:space="0" w:color="auto"/>
              <w:right w:val="single" w:sz="4" w:space="0" w:color="auto"/>
            </w:tcBorders>
            <w:shd w:val="clear" w:color="auto" w:fill="auto"/>
            <w:vAlign w:val="center"/>
            <w:hideMark/>
          </w:tcPr>
          <w:p w14:paraId="07E61109"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eastAsia="en-AU"/>
              </w:rPr>
              <w:t>N=303548</w:t>
            </w:r>
          </w:p>
        </w:tc>
        <w:tc>
          <w:tcPr>
            <w:tcW w:w="1418" w:type="dxa"/>
            <w:tcBorders>
              <w:top w:val="nil"/>
              <w:left w:val="nil"/>
              <w:bottom w:val="single" w:sz="4" w:space="0" w:color="auto"/>
              <w:right w:val="single" w:sz="4" w:space="0" w:color="auto"/>
            </w:tcBorders>
            <w:shd w:val="clear" w:color="auto" w:fill="auto"/>
            <w:vAlign w:val="center"/>
            <w:hideMark/>
          </w:tcPr>
          <w:p w14:paraId="202842BD"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eastAsia="en-AU"/>
              </w:rPr>
              <w:t>N=268430</w:t>
            </w:r>
          </w:p>
        </w:tc>
        <w:tc>
          <w:tcPr>
            <w:tcW w:w="2000" w:type="dxa"/>
            <w:tcBorders>
              <w:top w:val="nil"/>
              <w:left w:val="nil"/>
              <w:bottom w:val="single" w:sz="4" w:space="0" w:color="auto"/>
              <w:right w:val="single" w:sz="4" w:space="0" w:color="auto"/>
            </w:tcBorders>
            <w:shd w:val="clear" w:color="auto" w:fill="auto"/>
            <w:vAlign w:val="center"/>
            <w:hideMark/>
          </w:tcPr>
          <w:p w14:paraId="4395168A"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eastAsia="en-AU"/>
              </w:rPr>
              <w:t>N=898</w:t>
            </w:r>
          </w:p>
        </w:tc>
        <w:tc>
          <w:tcPr>
            <w:tcW w:w="2005" w:type="dxa"/>
            <w:tcBorders>
              <w:top w:val="nil"/>
              <w:left w:val="nil"/>
              <w:bottom w:val="single" w:sz="4" w:space="0" w:color="auto"/>
              <w:right w:val="single" w:sz="4" w:space="0" w:color="auto"/>
            </w:tcBorders>
            <w:shd w:val="clear" w:color="auto" w:fill="auto"/>
            <w:vAlign w:val="center"/>
            <w:hideMark/>
          </w:tcPr>
          <w:p w14:paraId="498E89B8" w14:textId="77777777" w:rsidR="009660E1" w:rsidRPr="009660E1" w:rsidRDefault="009660E1" w:rsidP="009660E1">
            <w:pPr>
              <w:spacing w:after="0" w:line="240" w:lineRule="auto"/>
              <w:jc w:val="center"/>
              <w:rPr>
                <w:rFonts w:ascii="Calibri" w:eastAsia="Times New Roman" w:hAnsi="Calibri" w:cs="Calibri"/>
                <w:color w:val="000000"/>
                <w:lang w:eastAsia="en-AU"/>
              </w:rPr>
            </w:pPr>
            <w:r w:rsidRPr="009660E1">
              <w:rPr>
                <w:rFonts w:ascii="Calibri" w:eastAsia="Times New Roman" w:hAnsi="Calibri" w:cs="Calibri"/>
                <w:color w:val="000000"/>
                <w:lang w:eastAsia="en-AU"/>
              </w:rPr>
              <w:t>N=9463</w:t>
            </w:r>
          </w:p>
        </w:tc>
      </w:tr>
      <w:tr w:rsidR="009660E1" w:rsidRPr="009660E1" w14:paraId="5BC30BAD" w14:textId="77777777" w:rsidTr="00811AAC">
        <w:trPr>
          <w:trHeight w:val="288"/>
        </w:trPr>
        <w:tc>
          <w:tcPr>
            <w:tcW w:w="110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2C40EA" w14:textId="77777777" w:rsidR="009660E1" w:rsidRPr="009660E1" w:rsidRDefault="009660E1" w:rsidP="009660E1">
            <w:pPr>
              <w:spacing w:after="0" w:line="240" w:lineRule="auto"/>
              <w:rPr>
                <w:rFonts w:ascii="Calibri" w:eastAsia="Times New Roman" w:hAnsi="Calibri" w:cs="Calibri"/>
                <w:b/>
                <w:bCs/>
                <w:color w:val="000000"/>
                <w:lang w:eastAsia="en-AU"/>
              </w:rPr>
            </w:pPr>
            <w:r w:rsidRPr="009660E1">
              <w:rPr>
                <w:rFonts w:ascii="Calibri" w:eastAsia="Times New Roman" w:hAnsi="Calibri" w:cs="Calibri"/>
                <w:b/>
                <w:bCs/>
                <w:color w:val="000000"/>
                <w:lang w:eastAsia="en-AU"/>
              </w:rPr>
              <w:t>Demographic</w:t>
            </w:r>
          </w:p>
        </w:tc>
      </w:tr>
      <w:tr w:rsidR="009660E1" w:rsidRPr="009660E1" w14:paraId="61B74755"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4A3CE4D"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Men %</w:t>
            </w:r>
          </w:p>
        </w:tc>
        <w:tc>
          <w:tcPr>
            <w:tcW w:w="1491" w:type="dxa"/>
            <w:tcBorders>
              <w:top w:val="nil"/>
              <w:left w:val="nil"/>
              <w:bottom w:val="single" w:sz="4" w:space="0" w:color="auto"/>
              <w:right w:val="single" w:sz="4" w:space="0" w:color="auto"/>
            </w:tcBorders>
            <w:shd w:val="clear" w:color="auto" w:fill="auto"/>
            <w:noWrap/>
            <w:vAlign w:val="bottom"/>
            <w:hideMark/>
          </w:tcPr>
          <w:p w14:paraId="7B2E53B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51.28%</w:t>
            </w:r>
          </w:p>
        </w:tc>
        <w:tc>
          <w:tcPr>
            <w:tcW w:w="1418" w:type="dxa"/>
            <w:tcBorders>
              <w:top w:val="nil"/>
              <w:left w:val="nil"/>
              <w:bottom w:val="single" w:sz="4" w:space="0" w:color="auto"/>
              <w:right w:val="single" w:sz="4" w:space="0" w:color="auto"/>
            </w:tcBorders>
            <w:shd w:val="clear" w:color="auto" w:fill="auto"/>
            <w:vAlign w:val="center"/>
            <w:hideMark/>
          </w:tcPr>
          <w:p w14:paraId="3B4F457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51.03%</w:t>
            </w:r>
          </w:p>
        </w:tc>
        <w:tc>
          <w:tcPr>
            <w:tcW w:w="2000" w:type="dxa"/>
            <w:tcBorders>
              <w:top w:val="nil"/>
              <w:left w:val="nil"/>
              <w:bottom w:val="single" w:sz="4" w:space="0" w:color="auto"/>
              <w:right w:val="single" w:sz="4" w:space="0" w:color="auto"/>
            </w:tcBorders>
            <w:shd w:val="clear" w:color="auto" w:fill="auto"/>
            <w:vAlign w:val="center"/>
            <w:hideMark/>
          </w:tcPr>
          <w:p w14:paraId="6B299F5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61.37%</w:t>
            </w:r>
          </w:p>
        </w:tc>
        <w:tc>
          <w:tcPr>
            <w:tcW w:w="2005" w:type="dxa"/>
            <w:tcBorders>
              <w:top w:val="nil"/>
              <w:left w:val="nil"/>
              <w:bottom w:val="single" w:sz="4" w:space="0" w:color="auto"/>
              <w:right w:val="single" w:sz="4" w:space="0" w:color="auto"/>
            </w:tcBorders>
            <w:shd w:val="clear" w:color="auto" w:fill="auto"/>
            <w:vAlign w:val="center"/>
            <w:hideMark/>
          </w:tcPr>
          <w:p w14:paraId="36D342D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56.54%</w:t>
            </w:r>
          </w:p>
        </w:tc>
      </w:tr>
      <w:tr w:rsidR="009660E1" w:rsidRPr="009660E1" w14:paraId="38893D95"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F3867F0"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Age at last echo (years)</w:t>
            </w:r>
          </w:p>
        </w:tc>
        <w:tc>
          <w:tcPr>
            <w:tcW w:w="1491" w:type="dxa"/>
            <w:tcBorders>
              <w:top w:val="nil"/>
              <w:left w:val="nil"/>
              <w:bottom w:val="single" w:sz="4" w:space="0" w:color="auto"/>
              <w:right w:val="single" w:sz="4" w:space="0" w:color="auto"/>
            </w:tcBorders>
            <w:shd w:val="clear" w:color="auto" w:fill="auto"/>
            <w:noWrap/>
            <w:vAlign w:val="bottom"/>
            <w:hideMark/>
          </w:tcPr>
          <w:p w14:paraId="41F836C8"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61.57±17.79</w:t>
            </w:r>
          </w:p>
        </w:tc>
        <w:tc>
          <w:tcPr>
            <w:tcW w:w="1418" w:type="dxa"/>
            <w:tcBorders>
              <w:top w:val="nil"/>
              <w:left w:val="nil"/>
              <w:bottom w:val="single" w:sz="4" w:space="0" w:color="auto"/>
              <w:right w:val="single" w:sz="4" w:space="0" w:color="auto"/>
            </w:tcBorders>
            <w:shd w:val="clear" w:color="auto" w:fill="auto"/>
            <w:vAlign w:val="center"/>
            <w:hideMark/>
          </w:tcPr>
          <w:p w14:paraId="6A5A7344"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62.01±17.76</w:t>
            </w:r>
          </w:p>
        </w:tc>
        <w:tc>
          <w:tcPr>
            <w:tcW w:w="2000" w:type="dxa"/>
            <w:tcBorders>
              <w:top w:val="nil"/>
              <w:left w:val="nil"/>
              <w:bottom w:val="single" w:sz="4" w:space="0" w:color="auto"/>
              <w:right w:val="single" w:sz="4" w:space="0" w:color="auto"/>
            </w:tcBorders>
            <w:shd w:val="clear" w:color="auto" w:fill="auto"/>
            <w:vAlign w:val="center"/>
            <w:hideMark/>
          </w:tcPr>
          <w:p w14:paraId="2B04E50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81.24±10.68</w:t>
            </w:r>
          </w:p>
        </w:tc>
        <w:tc>
          <w:tcPr>
            <w:tcW w:w="2005" w:type="dxa"/>
            <w:tcBorders>
              <w:top w:val="nil"/>
              <w:left w:val="nil"/>
              <w:bottom w:val="single" w:sz="4" w:space="0" w:color="auto"/>
              <w:right w:val="single" w:sz="4" w:space="0" w:color="auto"/>
            </w:tcBorders>
            <w:shd w:val="clear" w:color="auto" w:fill="auto"/>
            <w:vAlign w:val="center"/>
            <w:hideMark/>
          </w:tcPr>
          <w:p w14:paraId="75D2F18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75.03±13.81</w:t>
            </w:r>
          </w:p>
        </w:tc>
      </w:tr>
      <w:tr w:rsidR="009660E1" w:rsidRPr="009660E1" w14:paraId="41F27B42" w14:textId="77777777" w:rsidTr="00811AAC">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40C601D"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BMI (kg/m</w:t>
            </w:r>
            <w:r w:rsidRPr="009660E1">
              <w:rPr>
                <w:rFonts w:ascii="Calibri" w:eastAsia="Times New Roman" w:hAnsi="Calibri" w:cs="Calibri"/>
                <w:color w:val="000000"/>
                <w:sz w:val="20"/>
                <w:szCs w:val="20"/>
                <w:vertAlign w:val="superscript"/>
                <w:lang w:eastAsia="en-AU"/>
              </w:rPr>
              <w:t>2</w:t>
            </w:r>
            <w:r w:rsidRPr="009660E1">
              <w:rPr>
                <w:rFonts w:ascii="Calibri" w:eastAsia="Times New Roman" w:hAnsi="Calibri" w:cs="Calibri"/>
                <w:color w:val="000000"/>
                <w:lang w:eastAsia="en-AU"/>
              </w:rPr>
              <w:t>)</w:t>
            </w:r>
          </w:p>
        </w:tc>
        <w:tc>
          <w:tcPr>
            <w:tcW w:w="1491" w:type="dxa"/>
            <w:tcBorders>
              <w:top w:val="nil"/>
              <w:left w:val="nil"/>
              <w:bottom w:val="single" w:sz="4" w:space="0" w:color="auto"/>
              <w:right w:val="single" w:sz="4" w:space="0" w:color="auto"/>
            </w:tcBorders>
            <w:shd w:val="clear" w:color="auto" w:fill="auto"/>
            <w:noWrap/>
            <w:vAlign w:val="bottom"/>
            <w:hideMark/>
          </w:tcPr>
          <w:p w14:paraId="69CFE9F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28.02±6.27</w:t>
            </w:r>
          </w:p>
        </w:tc>
        <w:tc>
          <w:tcPr>
            <w:tcW w:w="1418" w:type="dxa"/>
            <w:tcBorders>
              <w:top w:val="nil"/>
              <w:left w:val="nil"/>
              <w:bottom w:val="single" w:sz="4" w:space="0" w:color="auto"/>
              <w:right w:val="single" w:sz="4" w:space="0" w:color="auto"/>
            </w:tcBorders>
            <w:shd w:val="clear" w:color="auto" w:fill="auto"/>
            <w:vAlign w:val="center"/>
            <w:hideMark/>
          </w:tcPr>
          <w:p w14:paraId="6850644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28.06±6.25</w:t>
            </w:r>
          </w:p>
        </w:tc>
        <w:tc>
          <w:tcPr>
            <w:tcW w:w="2000" w:type="dxa"/>
            <w:tcBorders>
              <w:top w:val="nil"/>
              <w:left w:val="nil"/>
              <w:bottom w:val="single" w:sz="4" w:space="0" w:color="auto"/>
              <w:right w:val="single" w:sz="4" w:space="0" w:color="auto"/>
            </w:tcBorders>
            <w:shd w:val="clear" w:color="auto" w:fill="auto"/>
            <w:vAlign w:val="center"/>
            <w:hideMark/>
          </w:tcPr>
          <w:p w14:paraId="6F22E72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26.05±5.63</w:t>
            </w:r>
          </w:p>
        </w:tc>
        <w:tc>
          <w:tcPr>
            <w:tcW w:w="2005" w:type="dxa"/>
            <w:tcBorders>
              <w:top w:val="nil"/>
              <w:left w:val="nil"/>
              <w:bottom w:val="single" w:sz="4" w:space="0" w:color="auto"/>
              <w:right w:val="single" w:sz="4" w:space="0" w:color="auto"/>
            </w:tcBorders>
            <w:shd w:val="clear" w:color="auto" w:fill="auto"/>
            <w:vAlign w:val="center"/>
            <w:hideMark/>
          </w:tcPr>
          <w:p w14:paraId="290BBA3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28.05±6.10</w:t>
            </w:r>
          </w:p>
        </w:tc>
      </w:tr>
      <w:tr w:rsidR="009660E1" w:rsidRPr="009660E1" w14:paraId="6588AA42" w14:textId="77777777" w:rsidTr="00811AAC">
        <w:trPr>
          <w:trHeight w:val="288"/>
        </w:trPr>
        <w:tc>
          <w:tcPr>
            <w:tcW w:w="110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6F792F" w14:textId="77777777" w:rsidR="009660E1" w:rsidRPr="009660E1" w:rsidRDefault="009660E1" w:rsidP="009660E1">
            <w:pPr>
              <w:spacing w:after="0" w:line="240" w:lineRule="auto"/>
              <w:rPr>
                <w:rFonts w:ascii="Calibri" w:eastAsia="Times New Roman" w:hAnsi="Calibri" w:cs="Calibri"/>
                <w:b/>
                <w:bCs/>
                <w:color w:val="000000"/>
                <w:lang w:eastAsia="en-AU"/>
              </w:rPr>
            </w:pPr>
            <w:r w:rsidRPr="009660E1">
              <w:rPr>
                <w:rFonts w:ascii="Calibri" w:eastAsia="Times New Roman" w:hAnsi="Calibri" w:cs="Calibri"/>
                <w:b/>
                <w:bCs/>
                <w:color w:val="000000"/>
                <w:lang w:eastAsia="en-AU"/>
              </w:rPr>
              <w:t>LV Dimensions/Function</w:t>
            </w:r>
            <w:r w:rsidRPr="009660E1">
              <w:rPr>
                <w:rFonts w:ascii="Calibri" w:eastAsia="Times New Roman" w:hAnsi="Calibri" w:cs="Calibri"/>
                <w:color w:val="000000"/>
                <w:lang w:eastAsia="en-AU"/>
              </w:rPr>
              <w:t> </w:t>
            </w:r>
          </w:p>
        </w:tc>
      </w:tr>
      <w:tr w:rsidR="009660E1" w:rsidRPr="009660E1" w14:paraId="2E430DDD"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6F889EE"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IV Septal thickness</w:t>
            </w:r>
          </w:p>
        </w:tc>
        <w:tc>
          <w:tcPr>
            <w:tcW w:w="1491" w:type="dxa"/>
            <w:tcBorders>
              <w:top w:val="nil"/>
              <w:left w:val="nil"/>
              <w:bottom w:val="single" w:sz="4" w:space="0" w:color="auto"/>
              <w:right w:val="single" w:sz="4" w:space="0" w:color="auto"/>
            </w:tcBorders>
            <w:shd w:val="clear" w:color="auto" w:fill="auto"/>
            <w:noWrap/>
            <w:vAlign w:val="bottom"/>
            <w:hideMark/>
          </w:tcPr>
          <w:p w14:paraId="47D05523"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1.05±0.23</w:t>
            </w:r>
          </w:p>
        </w:tc>
        <w:tc>
          <w:tcPr>
            <w:tcW w:w="1418" w:type="dxa"/>
            <w:tcBorders>
              <w:top w:val="nil"/>
              <w:left w:val="nil"/>
              <w:bottom w:val="single" w:sz="4" w:space="0" w:color="auto"/>
              <w:right w:val="single" w:sz="4" w:space="0" w:color="auto"/>
            </w:tcBorders>
            <w:shd w:val="clear" w:color="auto" w:fill="auto"/>
            <w:vAlign w:val="center"/>
            <w:hideMark/>
          </w:tcPr>
          <w:p w14:paraId="1E5F0C3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1.06±0.23</w:t>
            </w:r>
          </w:p>
        </w:tc>
        <w:tc>
          <w:tcPr>
            <w:tcW w:w="2000" w:type="dxa"/>
            <w:tcBorders>
              <w:top w:val="nil"/>
              <w:left w:val="nil"/>
              <w:bottom w:val="single" w:sz="4" w:space="0" w:color="auto"/>
              <w:right w:val="single" w:sz="4" w:space="0" w:color="auto"/>
            </w:tcBorders>
            <w:shd w:val="clear" w:color="auto" w:fill="auto"/>
            <w:vAlign w:val="center"/>
            <w:hideMark/>
          </w:tcPr>
          <w:p w14:paraId="3F644E0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1.24±0.25</w:t>
            </w:r>
          </w:p>
        </w:tc>
        <w:tc>
          <w:tcPr>
            <w:tcW w:w="2005" w:type="dxa"/>
            <w:tcBorders>
              <w:top w:val="nil"/>
              <w:left w:val="nil"/>
              <w:bottom w:val="single" w:sz="4" w:space="0" w:color="auto"/>
              <w:right w:val="single" w:sz="4" w:space="0" w:color="auto"/>
            </w:tcBorders>
            <w:shd w:val="clear" w:color="auto" w:fill="auto"/>
            <w:noWrap/>
            <w:vAlign w:val="bottom"/>
            <w:hideMark/>
          </w:tcPr>
          <w:p w14:paraId="06135225"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1.22±0.25</w:t>
            </w:r>
          </w:p>
        </w:tc>
      </w:tr>
      <w:tr w:rsidR="009660E1" w:rsidRPr="009660E1" w14:paraId="490E6164" w14:textId="77777777" w:rsidTr="00811AAC">
        <w:trPr>
          <w:trHeight w:val="312"/>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D77A882"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 xml:space="preserve">IV Septal thickness </w:t>
            </w:r>
            <w:r w:rsidRPr="009660E1">
              <w:rPr>
                <w:rFonts w:ascii="Calibri" w:eastAsia="Times New Roman" w:hAnsi="Calibri" w:cs="Calibri"/>
                <w:color w:val="000000"/>
                <w:sz w:val="24"/>
                <w:szCs w:val="24"/>
                <w:lang w:eastAsia="en-AU"/>
              </w:rPr>
              <w:t>≥</w:t>
            </w:r>
            <w:r w:rsidRPr="009660E1">
              <w:rPr>
                <w:rFonts w:ascii="Calibri" w:eastAsia="Times New Roman" w:hAnsi="Calibri" w:cs="Calibri"/>
                <w:color w:val="000000"/>
                <w:lang w:eastAsia="en-AU"/>
              </w:rPr>
              <w:t>15mm %</w:t>
            </w:r>
          </w:p>
        </w:tc>
        <w:tc>
          <w:tcPr>
            <w:tcW w:w="1491" w:type="dxa"/>
            <w:tcBorders>
              <w:top w:val="nil"/>
              <w:left w:val="nil"/>
              <w:bottom w:val="single" w:sz="4" w:space="0" w:color="auto"/>
              <w:right w:val="single" w:sz="4" w:space="0" w:color="auto"/>
            </w:tcBorders>
            <w:shd w:val="clear" w:color="auto" w:fill="auto"/>
            <w:noWrap/>
            <w:vAlign w:val="bottom"/>
            <w:hideMark/>
          </w:tcPr>
          <w:p w14:paraId="5288592B"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4.63%</w:t>
            </w:r>
          </w:p>
        </w:tc>
        <w:tc>
          <w:tcPr>
            <w:tcW w:w="1418" w:type="dxa"/>
            <w:tcBorders>
              <w:top w:val="nil"/>
              <w:left w:val="nil"/>
              <w:bottom w:val="single" w:sz="4" w:space="0" w:color="auto"/>
              <w:right w:val="single" w:sz="4" w:space="0" w:color="auto"/>
            </w:tcBorders>
            <w:shd w:val="clear" w:color="auto" w:fill="auto"/>
            <w:vAlign w:val="center"/>
            <w:hideMark/>
          </w:tcPr>
          <w:p w14:paraId="53D1AD9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4.56%</w:t>
            </w:r>
          </w:p>
        </w:tc>
        <w:tc>
          <w:tcPr>
            <w:tcW w:w="2000" w:type="dxa"/>
            <w:tcBorders>
              <w:top w:val="nil"/>
              <w:left w:val="nil"/>
              <w:bottom w:val="single" w:sz="4" w:space="0" w:color="auto"/>
              <w:right w:val="single" w:sz="4" w:space="0" w:color="auto"/>
            </w:tcBorders>
            <w:shd w:val="clear" w:color="auto" w:fill="auto"/>
            <w:vAlign w:val="center"/>
            <w:hideMark/>
          </w:tcPr>
          <w:p w14:paraId="2DFCA9E9"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15.37%</w:t>
            </w:r>
          </w:p>
        </w:tc>
        <w:tc>
          <w:tcPr>
            <w:tcW w:w="2005" w:type="dxa"/>
            <w:tcBorders>
              <w:top w:val="nil"/>
              <w:left w:val="nil"/>
              <w:bottom w:val="single" w:sz="4" w:space="0" w:color="auto"/>
              <w:right w:val="single" w:sz="4" w:space="0" w:color="auto"/>
            </w:tcBorders>
            <w:shd w:val="clear" w:color="auto" w:fill="auto"/>
            <w:noWrap/>
            <w:vAlign w:val="bottom"/>
            <w:hideMark/>
          </w:tcPr>
          <w:p w14:paraId="510F0A63"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14.55%</w:t>
            </w:r>
          </w:p>
        </w:tc>
      </w:tr>
      <w:tr w:rsidR="009660E1" w:rsidRPr="009660E1" w14:paraId="1992857E"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7BB029C"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 Posterior Wall Dimensions</w:t>
            </w:r>
          </w:p>
        </w:tc>
        <w:tc>
          <w:tcPr>
            <w:tcW w:w="1491" w:type="dxa"/>
            <w:tcBorders>
              <w:top w:val="nil"/>
              <w:left w:val="nil"/>
              <w:bottom w:val="single" w:sz="4" w:space="0" w:color="auto"/>
              <w:right w:val="single" w:sz="4" w:space="0" w:color="auto"/>
            </w:tcBorders>
            <w:shd w:val="clear" w:color="auto" w:fill="auto"/>
            <w:noWrap/>
            <w:vAlign w:val="bottom"/>
            <w:hideMark/>
          </w:tcPr>
          <w:p w14:paraId="6C5FE6DF"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1.01±0.20</w:t>
            </w:r>
          </w:p>
        </w:tc>
        <w:tc>
          <w:tcPr>
            <w:tcW w:w="1418" w:type="dxa"/>
            <w:tcBorders>
              <w:top w:val="nil"/>
              <w:left w:val="nil"/>
              <w:bottom w:val="single" w:sz="4" w:space="0" w:color="auto"/>
              <w:right w:val="single" w:sz="4" w:space="0" w:color="auto"/>
            </w:tcBorders>
            <w:shd w:val="clear" w:color="auto" w:fill="auto"/>
            <w:vAlign w:val="center"/>
            <w:hideMark/>
          </w:tcPr>
          <w:p w14:paraId="3628EEC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1.01±0.20</w:t>
            </w:r>
          </w:p>
        </w:tc>
        <w:tc>
          <w:tcPr>
            <w:tcW w:w="2000" w:type="dxa"/>
            <w:tcBorders>
              <w:top w:val="nil"/>
              <w:left w:val="nil"/>
              <w:bottom w:val="single" w:sz="4" w:space="0" w:color="auto"/>
              <w:right w:val="single" w:sz="4" w:space="0" w:color="auto"/>
            </w:tcBorders>
            <w:shd w:val="clear" w:color="auto" w:fill="auto"/>
            <w:vAlign w:val="center"/>
            <w:hideMark/>
          </w:tcPr>
          <w:p w14:paraId="5B5DF6A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1.15±0.23</w:t>
            </w:r>
          </w:p>
        </w:tc>
        <w:tc>
          <w:tcPr>
            <w:tcW w:w="2005" w:type="dxa"/>
            <w:tcBorders>
              <w:top w:val="nil"/>
              <w:left w:val="nil"/>
              <w:bottom w:val="single" w:sz="4" w:space="0" w:color="auto"/>
              <w:right w:val="single" w:sz="4" w:space="0" w:color="auto"/>
            </w:tcBorders>
            <w:shd w:val="clear" w:color="auto" w:fill="auto"/>
            <w:noWrap/>
            <w:vAlign w:val="bottom"/>
            <w:hideMark/>
          </w:tcPr>
          <w:p w14:paraId="3ECB554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1.13±0.21</w:t>
            </w:r>
          </w:p>
        </w:tc>
      </w:tr>
      <w:tr w:rsidR="009660E1" w:rsidRPr="009660E1" w14:paraId="595DA673" w14:textId="77777777" w:rsidTr="00811AAC">
        <w:trPr>
          <w:trHeight w:val="312"/>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517F550"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 xml:space="preserve">LV Posterior Wall Dimensions </w:t>
            </w:r>
            <w:r w:rsidRPr="009660E1">
              <w:rPr>
                <w:rFonts w:ascii="Calibri" w:eastAsia="Times New Roman" w:hAnsi="Calibri" w:cs="Calibri"/>
                <w:color w:val="000000"/>
                <w:sz w:val="24"/>
                <w:szCs w:val="24"/>
                <w:lang w:eastAsia="en-AU"/>
              </w:rPr>
              <w:t>≥</w:t>
            </w:r>
            <w:r w:rsidRPr="009660E1">
              <w:rPr>
                <w:rFonts w:ascii="Calibri" w:eastAsia="Times New Roman" w:hAnsi="Calibri" w:cs="Calibri"/>
                <w:color w:val="000000"/>
                <w:lang w:eastAsia="en-AU"/>
              </w:rPr>
              <w:t>15mm %</w:t>
            </w:r>
          </w:p>
        </w:tc>
        <w:tc>
          <w:tcPr>
            <w:tcW w:w="1491" w:type="dxa"/>
            <w:tcBorders>
              <w:top w:val="nil"/>
              <w:left w:val="nil"/>
              <w:bottom w:val="single" w:sz="4" w:space="0" w:color="auto"/>
              <w:right w:val="single" w:sz="4" w:space="0" w:color="auto"/>
            </w:tcBorders>
            <w:shd w:val="clear" w:color="auto" w:fill="auto"/>
            <w:noWrap/>
            <w:vAlign w:val="bottom"/>
            <w:hideMark/>
          </w:tcPr>
          <w:p w14:paraId="232ABCE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2.07%</w:t>
            </w:r>
          </w:p>
        </w:tc>
        <w:tc>
          <w:tcPr>
            <w:tcW w:w="1418" w:type="dxa"/>
            <w:tcBorders>
              <w:top w:val="nil"/>
              <w:left w:val="nil"/>
              <w:bottom w:val="single" w:sz="4" w:space="0" w:color="auto"/>
              <w:right w:val="single" w:sz="4" w:space="0" w:color="auto"/>
            </w:tcBorders>
            <w:shd w:val="clear" w:color="auto" w:fill="auto"/>
            <w:vAlign w:val="center"/>
            <w:hideMark/>
          </w:tcPr>
          <w:p w14:paraId="399EB92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2.15%</w:t>
            </w:r>
          </w:p>
        </w:tc>
        <w:tc>
          <w:tcPr>
            <w:tcW w:w="2000" w:type="dxa"/>
            <w:tcBorders>
              <w:top w:val="nil"/>
              <w:left w:val="nil"/>
              <w:bottom w:val="single" w:sz="4" w:space="0" w:color="auto"/>
              <w:right w:val="single" w:sz="4" w:space="0" w:color="auto"/>
            </w:tcBorders>
            <w:shd w:val="clear" w:color="auto" w:fill="auto"/>
            <w:vAlign w:val="center"/>
            <w:hideMark/>
          </w:tcPr>
          <w:p w14:paraId="1931B39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7.46%</w:t>
            </w:r>
          </w:p>
        </w:tc>
        <w:tc>
          <w:tcPr>
            <w:tcW w:w="2005" w:type="dxa"/>
            <w:tcBorders>
              <w:top w:val="nil"/>
              <w:left w:val="nil"/>
              <w:bottom w:val="single" w:sz="4" w:space="0" w:color="auto"/>
              <w:right w:val="single" w:sz="4" w:space="0" w:color="auto"/>
            </w:tcBorders>
            <w:shd w:val="clear" w:color="auto" w:fill="auto"/>
            <w:noWrap/>
            <w:vAlign w:val="bottom"/>
            <w:hideMark/>
          </w:tcPr>
          <w:p w14:paraId="22C4221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6.29%</w:t>
            </w:r>
          </w:p>
        </w:tc>
      </w:tr>
      <w:tr w:rsidR="009660E1" w:rsidRPr="009660E1" w14:paraId="296543A7"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8C7638A"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 diastolic diameter</w:t>
            </w:r>
          </w:p>
        </w:tc>
        <w:tc>
          <w:tcPr>
            <w:tcW w:w="1491" w:type="dxa"/>
            <w:tcBorders>
              <w:top w:val="nil"/>
              <w:left w:val="nil"/>
              <w:bottom w:val="single" w:sz="4" w:space="0" w:color="auto"/>
              <w:right w:val="single" w:sz="4" w:space="0" w:color="auto"/>
            </w:tcBorders>
            <w:shd w:val="clear" w:color="auto" w:fill="auto"/>
            <w:noWrap/>
            <w:vAlign w:val="bottom"/>
            <w:hideMark/>
          </w:tcPr>
          <w:p w14:paraId="14429634"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4.70±0.70</w:t>
            </w:r>
          </w:p>
        </w:tc>
        <w:tc>
          <w:tcPr>
            <w:tcW w:w="1418" w:type="dxa"/>
            <w:tcBorders>
              <w:top w:val="nil"/>
              <w:left w:val="nil"/>
              <w:bottom w:val="single" w:sz="4" w:space="0" w:color="auto"/>
              <w:right w:val="single" w:sz="4" w:space="0" w:color="auto"/>
            </w:tcBorders>
            <w:shd w:val="clear" w:color="auto" w:fill="auto"/>
            <w:vAlign w:val="center"/>
            <w:hideMark/>
          </w:tcPr>
          <w:p w14:paraId="5989001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4.74±0.68</w:t>
            </w:r>
          </w:p>
        </w:tc>
        <w:tc>
          <w:tcPr>
            <w:tcW w:w="2000" w:type="dxa"/>
            <w:tcBorders>
              <w:top w:val="nil"/>
              <w:left w:val="nil"/>
              <w:bottom w:val="single" w:sz="4" w:space="0" w:color="auto"/>
              <w:right w:val="single" w:sz="4" w:space="0" w:color="auto"/>
            </w:tcBorders>
            <w:shd w:val="clear" w:color="auto" w:fill="auto"/>
            <w:vAlign w:val="center"/>
            <w:hideMark/>
          </w:tcPr>
          <w:p w14:paraId="77D62D5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4.94±0.86</w:t>
            </w:r>
          </w:p>
        </w:tc>
        <w:tc>
          <w:tcPr>
            <w:tcW w:w="2005" w:type="dxa"/>
            <w:tcBorders>
              <w:top w:val="nil"/>
              <w:left w:val="nil"/>
              <w:bottom w:val="single" w:sz="4" w:space="0" w:color="auto"/>
              <w:right w:val="single" w:sz="4" w:space="0" w:color="auto"/>
            </w:tcBorders>
            <w:shd w:val="clear" w:color="auto" w:fill="auto"/>
            <w:noWrap/>
            <w:vAlign w:val="bottom"/>
            <w:hideMark/>
          </w:tcPr>
          <w:p w14:paraId="6E96C73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4.60±0.70</w:t>
            </w:r>
          </w:p>
        </w:tc>
      </w:tr>
      <w:tr w:rsidR="009660E1" w:rsidRPr="009660E1" w14:paraId="0CCC5169"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CE119D6"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 diastolic diameter &lt;5.5cm %</w:t>
            </w:r>
          </w:p>
        </w:tc>
        <w:tc>
          <w:tcPr>
            <w:tcW w:w="1491" w:type="dxa"/>
            <w:tcBorders>
              <w:top w:val="nil"/>
              <w:left w:val="nil"/>
              <w:bottom w:val="single" w:sz="4" w:space="0" w:color="auto"/>
              <w:right w:val="single" w:sz="4" w:space="0" w:color="auto"/>
            </w:tcBorders>
            <w:shd w:val="clear" w:color="auto" w:fill="auto"/>
            <w:noWrap/>
            <w:vAlign w:val="bottom"/>
            <w:hideMark/>
          </w:tcPr>
          <w:p w14:paraId="52A8FB1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87.71%</w:t>
            </w:r>
          </w:p>
        </w:tc>
        <w:tc>
          <w:tcPr>
            <w:tcW w:w="1418" w:type="dxa"/>
            <w:tcBorders>
              <w:top w:val="nil"/>
              <w:left w:val="nil"/>
              <w:bottom w:val="single" w:sz="4" w:space="0" w:color="auto"/>
              <w:right w:val="single" w:sz="4" w:space="0" w:color="auto"/>
            </w:tcBorders>
            <w:shd w:val="clear" w:color="auto" w:fill="auto"/>
            <w:vAlign w:val="center"/>
            <w:hideMark/>
          </w:tcPr>
          <w:p w14:paraId="37B64F3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87.10%</w:t>
            </w:r>
          </w:p>
        </w:tc>
        <w:tc>
          <w:tcPr>
            <w:tcW w:w="2000" w:type="dxa"/>
            <w:tcBorders>
              <w:top w:val="nil"/>
              <w:left w:val="nil"/>
              <w:bottom w:val="single" w:sz="4" w:space="0" w:color="auto"/>
              <w:right w:val="single" w:sz="4" w:space="0" w:color="auto"/>
            </w:tcBorders>
            <w:shd w:val="clear" w:color="auto" w:fill="auto"/>
            <w:vAlign w:val="center"/>
            <w:hideMark/>
          </w:tcPr>
          <w:p w14:paraId="680AD0D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72.94%</w:t>
            </w:r>
          </w:p>
        </w:tc>
        <w:tc>
          <w:tcPr>
            <w:tcW w:w="2005" w:type="dxa"/>
            <w:tcBorders>
              <w:top w:val="nil"/>
              <w:left w:val="nil"/>
              <w:bottom w:val="single" w:sz="4" w:space="0" w:color="auto"/>
              <w:right w:val="single" w:sz="4" w:space="0" w:color="auto"/>
            </w:tcBorders>
            <w:shd w:val="clear" w:color="auto" w:fill="auto"/>
            <w:noWrap/>
            <w:vAlign w:val="bottom"/>
            <w:hideMark/>
          </w:tcPr>
          <w:p w14:paraId="01FAC7B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89.73%</w:t>
            </w:r>
          </w:p>
        </w:tc>
      </w:tr>
      <w:tr w:rsidR="009660E1" w:rsidRPr="009660E1" w14:paraId="6536E9B9"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55BD6C8"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Septal to Posterior Wall Ratio</w:t>
            </w:r>
          </w:p>
        </w:tc>
        <w:tc>
          <w:tcPr>
            <w:tcW w:w="1491" w:type="dxa"/>
            <w:tcBorders>
              <w:top w:val="nil"/>
              <w:left w:val="nil"/>
              <w:bottom w:val="single" w:sz="4" w:space="0" w:color="auto"/>
              <w:right w:val="single" w:sz="4" w:space="0" w:color="auto"/>
            </w:tcBorders>
            <w:shd w:val="clear" w:color="auto" w:fill="auto"/>
            <w:noWrap/>
            <w:vAlign w:val="bottom"/>
            <w:hideMark/>
          </w:tcPr>
          <w:p w14:paraId="7F4B7283"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1.06±0.19</w:t>
            </w:r>
          </w:p>
        </w:tc>
        <w:tc>
          <w:tcPr>
            <w:tcW w:w="1418" w:type="dxa"/>
            <w:tcBorders>
              <w:top w:val="nil"/>
              <w:left w:val="nil"/>
              <w:bottom w:val="single" w:sz="4" w:space="0" w:color="auto"/>
              <w:right w:val="single" w:sz="4" w:space="0" w:color="auto"/>
            </w:tcBorders>
            <w:shd w:val="clear" w:color="auto" w:fill="auto"/>
            <w:vAlign w:val="center"/>
            <w:hideMark/>
          </w:tcPr>
          <w:p w14:paraId="0C75019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1.06±0.19</w:t>
            </w:r>
          </w:p>
        </w:tc>
        <w:tc>
          <w:tcPr>
            <w:tcW w:w="2000" w:type="dxa"/>
            <w:tcBorders>
              <w:top w:val="nil"/>
              <w:left w:val="nil"/>
              <w:bottom w:val="single" w:sz="4" w:space="0" w:color="auto"/>
              <w:right w:val="single" w:sz="4" w:space="0" w:color="auto"/>
            </w:tcBorders>
            <w:shd w:val="clear" w:color="auto" w:fill="auto"/>
            <w:vAlign w:val="center"/>
            <w:hideMark/>
          </w:tcPr>
          <w:p w14:paraId="7FC9DE2E"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1.09±0.24</w:t>
            </w:r>
          </w:p>
        </w:tc>
        <w:tc>
          <w:tcPr>
            <w:tcW w:w="2005" w:type="dxa"/>
            <w:tcBorders>
              <w:top w:val="nil"/>
              <w:left w:val="nil"/>
              <w:bottom w:val="single" w:sz="4" w:space="0" w:color="auto"/>
              <w:right w:val="single" w:sz="4" w:space="0" w:color="auto"/>
            </w:tcBorders>
            <w:shd w:val="clear" w:color="auto" w:fill="auto"/>
            <w:noWrap/>
            <w:vAlign w:val="bottom"/>
            <w:hideMark/>
          </w:tcPr>
          <w:p w14:paraId="7E5D87F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1.09±0.20</w:t>
            </w:r>
          </w:p>
        </w:tc>
      </w:tr>
      <w:tr w:rsidR="009660E1" w:rsidRPr="009660E1" w14:paraId="5D7DB381"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6B13EF1"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Septal to Posterior Wall Ratio &gt;1.3 %</w:t>
            </w:r>
          </w:p>
        </w:tc>
        <w:tc>
          <w:tcPr>
            <w:tcW w:w="1491" w:type="dxa"/>
            <w:tcBorders>
              <w:top w:val="nil"/>
              <w:left w:val="nil"/>
              <w:bottom w:val="single" w:sz="4" w:space="0" w:color="auto"/>
              <w:right w:val="single" w:sz="4" w:space="0" w:color="auto"/>
            </w:tcBorders>
            <w:shd w:val="clear" w:color="auto" w:fill="auto"/>
            <w:noWrap/>
            <w:vAlign w:val="bottom"/>
            <w:hideMark/>
          </w:tcPr>
          <w:p w14:paraId="58C86A2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7.37%</w:t>
            </w:r>
          </w:p>
        </w:tc>
        <w:tc>
          <w:tcPr>
            <w:tcW w:w="1418" w:type="dxa"/>
            <w:tcBorders>
              <w:top w:val="nil"/>
              <w:left w:val="nil"/>
              <w:bottom w:val="single" w:sz="4" w:space="0" w:color="auto"/>
              <w:right w:val="single" w:sz="4" w:space="0" w:color="auto"/>
            </w:tcBorders>
            <w:shd w:val="clear" w:color="auto" w:fill="auto"/>
            <w:vAlign w:val="center"/>
            <w:hideMark/>
          </w:tcPr>
          <w:p w14:paraId="1B9C783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7.27%</w:t>
            </w:r>
          </w:p>
        </w:tc>
        <w:tc>
          <w:tcPr>
            <w:tcW w:w="2000" w:type="dxa"/>
            <w:tcBorders>
              <w:top w:val="nil"/>
              <w:left w:val="nil"/>
              <w:bottom w:val="single" w:sz="4" w:space="0" w:color="auto"/>
              <w:right w:val="single" w:sz="4" w:space="0" w:color="auto"/>
            </w:tcBorders>
            <w:shd w:val="clear" w:color="auto" w:fill="auto"/>
            <w:vAlign w:val="center"/>
            <w:hideMark/>
          </w:tcPr>
          <w:p w14:paraId="5CBD867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11.58%</w:t>
            </w:r>
          </w:p>
        </w:tc>
        <w:tc>
          <w:tcPr>
            <w:tcW w:w="2005" w:type="dxa"/>
            <w:tcBorders>
              <w:top w:val="nil"/>
              <w:left w:val="nil"/>
              <w:bottom w:val="single" w:sz="4" w:space="0" w:color="auto"/>
              <w:right w:val="single" w:sz="4" w:space="0" w:color="auto"/>
            </w:tcBorders>
            <w:shd w:val="clear" w:color="auto" w:fill="auto"/>
            <w:noWrap/>
            <w:vAlign w:val="bottom"/>
            <w:hideMark/>
          </w:tcPr>
          <w:p w14:paraId="6DDD4A7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10.99%</w:t>
            </w:r>
          </w:p>
        </w:tc>
      </w:tr>
      <w:tr w:rsidR="009660E1" w:rsidRPr="009660E1" w14:paraId="3EF74862"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A5C4FC7"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LVEF</w:t>
            </w:r>
          </w:p>
        </w:tc>
        <w:tc>
          <w:tcPr>
            <w:tcW w:w="1491" w:type="dxa"/>
            <w:tcBorders>
              <w:top w:val="nil"/>
              <w:left w:val="nil"/>
              <w:bottom w:val="single" w:sz="4" w:space="0" w:color="auto"/>
              <w:right w:val="single" w:sz="4" w:space="0" w:color="auto"/>
            </w:tcBorders>
            <w:shd w:val="clear" w:color="auto" w:fill="auto"/>
            <w:noWrap/>
            <w:vAlign w:val="bottom"/>
            <w:hideMark/>
          </w:tcPr>
          <w:p w14:paraId="026D5F1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62.30±11.77</w:t>
            </w:r>
          </w:p>
        </w:tc>
        <w:tc>
          <w:tcPr>
            <w:tcW w:w="1418" w:type="dxa"/>
            <w:tcBorders>
              <w:top w:val="nil"/>
              <w:left w:val="nil"/>
              <w:bottom w:val="single" w:sz="4" w:space="0" w:color="auto"/>
              <w:right w:val="single" w:sz="4" w:space="0" w:color="auto"/>
            </w:tcBorders>
            <w:shd w:val="clear" w:color="auto" w:fill="auto"/>
            <w:vAlign w:val="center"/>
            <w:hideMark/>
          </w:tcPr>
          <w:p w14:paraId="38E48D2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62.32±11.80</w:t>
            </w:r>
          </w:p>
        </w:tc>
        <w:tc>
          <w:tcPr>
            <w:tcW w:w="2000" w:type="dxa"/>
            <w:tcBorders>
              <w:top w:val="nil"/>
              <w:left w:val="nil"/>
              <w:bottom w:val="single" w:sz="4" w:space="0" w:color="auto"/>
              <w:right w:val="single" w:sz="4" w:space="0" w:color="auto"/>
            </w:tcBorders>
            <w:shd w:val="clear" w:color="auto" w:fill="auto"/>
            <w:vAlign w:val="center"/>
            <w:hideMark/>
          </w:tcPr>
          <w:p w14:paraId="3307EEAF"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45.09±15.76</w:t>
            </w:r>
          </w:p>
        </w:tc>
        <w:tc>
          <w:tcPr>
            <w:tcW w:w="2005" w:type="dxa"/>
            <w:tcBorders>
              <w:top w:val="nil"/>
              <w:left w:val="nil"/>
              <w:bottom w:val="single" w:sz="4" w:space="0" w:color="auto"/>
              <w:right w:val="single" w:sz="4" w:space="0" w:color="auto"/>
            </w:tcBorders>
            <w:shd w:val="clear" w:color="auto" w:fill="auto"/>
            <w:noWrap/>
            <w:vAlign w:val="bottom"/>
            <w:hideMark/>
          </w:tcPr>
          <w:p w14:paraId="525C6E1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61.84±11.02</w:t>
            </w:r>
          </w:p>
        </w:tc>
      </w:tr>
      <w:tr w:rsidR="009660E1" w:rsidRPr="009660E1" w14:paraId="53987C0A"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FA0B902"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LVEF &lt;55%</w:t>
            </w:r>
          </w:p>
        </w:tc>
        <w:tc>
          <w:tcPr>
            <w:tcW w:w="1491" w:type="dxa"/>
            <w:tcBorders>
              <w:top w:val="nil"/>
              <w:left w:val="nil"/>
              <w:bottom w:val="single" w:sz="4" w:space="0" w:color="auto"/>
              <w:right w:val="single" w:sz="4" w:space="0" w:color="auto"/>
            </w:tcBorders>
            <w:shd w:val="clear" w:color="auto" w:fill="auto"/>
            <w:noWrap/>
            <w:vAlign w:val="bottom"/>
            <w:hideMark/>
          </w:tcPr>
          <w:p w14:paraId="43E660A9"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15.03%</w:t>
            </w:r>
          </w:p>
        </w:tc>
        <w:tc>
          <w:tcPr>
            <w:tcW w:w="1418" w:type="dxa"/>
            <w:tcBorders>
              <w:top w:val="nil"/>
              <w:left w:val="nil"/>
              <w:bottom w:val="single" w:sz="4" w:space="0" w:color="auto"/>
              <w:right w:val="single" w:sz="4" w:space="0" w:color="auto"/>
            </w:tcBorders>
            <w:shd w:val="clear" w:color="auto" w:fill="auto"/>
            <w:vAlign w:val="center"/>
            <w:hideMark/>
          </w:tcPr>
          <w:p w14:paraId="7817128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15.88%</w:t>
            </w:r>
          </w:p>
        </w:tc>
        <w:tc>
          <w:tcPr>
            <w:tcW w:w="2000" w:type="dxa"/>
            <w:tcBorders>
              <w:top w:val="nil"/>
              <w:left w:val="nil"/>
              <w:bottom w:val="single" w:sz="4" w:space="0" w:color="auto"/>
              <w:right w:val="single" w:sz="4" w:space="0" w:color="auto"/>
            </w:tcBorders>
            <w:shd w:val="clear" w:color="auto" w:fill="auto"/>
            <w:vAlign w:val="center"/>
            <w:hideMark/>
          </w:tcPr>
          <w:p w14:paraId="282F9F4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65.59%</w:t>
            </w:r>
          </w:p>
        </w:tc>
        <w:tc>
          <w:tcPr>
            <w:tcW w:w="2005" w:type="dxa"/>
            <w:tcBorders>
              <w:top w:val="nil"/>
              <w:left w:val="nil"/>
              <w:bottom w:val="single" w:sz="4" w:space="0" w:color="auto"/>
              <w:right w:val="single" w:sz="4" w:space="0" w:color="auto"/>
            </w:tcBorders>
            <w:shd w:val="clear" w:color="auto" w:fill="auto"/>
            <w:noWrap/>
            <w:vAlign w:val="bottom"/>
            <w:hideMark/>
          </w:tcPr>
          <w:p w14:paraId="45FE9B4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17.03%</w:t>
            </w:r>
          </w:p>
        </w:tc>
      </w:tr>
      <w:tr w:rsidR="009660E1" w:rsidRPr="009660E1" w14:paraId="18D4CDA7" w14:textId="77777777" w:rsidTr="00811AAC">
        <w:trPr>
          <w:trHeight w:val="312"/>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BDB65C6"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 xml:space="preserve">LVEF </w:t>
            </w:r>
            <w:r w:rsidRPr="009660E1">
              <w:rPr>
                <w:rFonts w:ascii="Calibri" w:eastAsia="Times New Roman" w:hAnsi="Calibri" w:cs="Calibri"/>
                <w:color w:val="000000"/>
                <w:sz w:val="24"/>
                <w:szCs w:val="24"/>
                <w:lang w:eastAsia="en-AU"/>
              </w:rPr>
              <w:t>≥</w:t>
            </w:r>
            <w:r w:rsidRPr="009660E1">
              <w:rPr>
                <w:rFonts w:ascii="Calibri" w:eastAsia="Times New Roman" w:hAnsi="Calibri" w:cs="Calibri"/>
                <w:color w:val="000000"/>
                <w:lang w:eastAsia="en-AU"/>
              </w:rPr>
              <w:t>55%</w:t>
            </w:r>
          </w:p>
        </w:tc>
        <w:tc>
          <w:tcPr>
            <w:tcW w:w="1491" w:type="dxa"/>
            <w:tcBorders>
              <w:top w:val="nil"/>
              <w:left w:val="nil"/>
              <w:bottom w:val="single" w:sz="4" w:space="0" w:color="auto"/>
              <w:right w:val="single" w:sz="4" w:space="0" w:color="auto"/>
            </w:tcBorders>
            <w:shd w:val="clear" w:color="auto" w:fill="auto"/>
            <w:noWrap/>
            <w:vAlign w:val="bottom"/>
            <w:hideMark/>
          </w:tcPr>
          <w:p w14:paraId="4ADC241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77.01%</w:t>
            </w:r>
          </w:p>
        </w:tc>
        <w:tc>
          <w:tcPr>
            <w:tcW w:w="1418" w:type="dxa"/>
            <w:tcBorders>
              <w:top w:val="nil"/>
              <w:left w:val="nil"/>
              <w:bottom w:val="single" w:sz="4" w:space="0" w:color="auto"/>
              <w:right w:val="single" w:sz="4" w:space="0" w:color="auto"/>
            </w:tcBorders>
            <w:shd w:val="clear" w:color="auto" w:fill="auto"/>
            <w:vAlign w:val="center"/>
            <w:hideMark/>
          </w:tcPr>
          <w:p w14:paraId="7A62357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81.35%</w:t>
            </w:r>
          </w:p>
        </w:tc>
        <w:tc>
          <w:tcPr>
            <w:tcW w:w="2000" w:type="dxa"/>
            <w:tcBorders>
              <w:top w:val="nil"/>
              <w:left w:val="nil"/>
              <w:bottom w:val="single" w:sz="4" w:space="0" w:color="auto"/>
              <w:right w:val="single" w:sz="4" w:space="0" w:color="auto"/>
            </w:tcBorders>
            <w:shd w:val="clear" w:color="auto" w:fill="auto"/>
            <w:vAlign w:val="center"/>
            <w:hideMark/>
          </w:tcPr>
          <w:p w14:paraId="24A8FFC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30.85%</w:t>
            </w:r>
          </w:p>
        </w:tc>
        <w:tc>
          <w:tcPr>
            <w:tcW w:w="2005" w:type="dxa"/>
            <w:tcBorders>
              <w:top w:val="nil"/>
              <w:left w:val="nil"/>
              <w:bottom w:val="single" w:sz="4" w:space="0" w:color="auto"/>
              <w:right w:val="single" w:sz="4" w:space="0" w:color="auto"/>
            </w:tcBorders>
            <w:shd w:val="clear" w:color="auto" w:fill="auto"/>
            <w:noWrap/>
            <w:vAlign w:val="bottom"/>
            <w:hideMark/>
          </w:tcPr>
          <w:p w14:paraId="026932F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79.63%</w:t>
            </w:r>
          </w:p>
        </w:tc>
      </w:tr>
      <w:tr w:rsidR="009660E1" w:rsidRPr="009660E1" w14:paraId="42DB7464"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6E241AF"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Mitral E wave velocity,</w:t>
            </w:r>
          </w:p>
        </w:tc>
        <w:tc>
          <w:tcPr>
            <w:tcW w:w="1491" w:type="dxa"/>
            <w:tcBorders>
              <w:top w:val="nil"/>
              <w:left w:val="nil"/>
              <w:bottom w:val="single" w:sz="4" w:space="0" w:color="auto"/>
              <w:right w:val="single" w:sz="4" w:space="0" w:color="auto"/>
            </w:tcBorders>
            <w:shd w:val="clear" w:color="auto" w:fill="auto"/>
            <w:noWrap/>
            <w:vAlign w:val="bottom"/>
            <w:hideMark/>
          </w:tcPr>
          <w:p w14:paraId="20FEA20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80.26±25.51</w:t>
            </w:r>
          </w:p>
        </w:tc>
        <w:tc>
          <w:tcPr>
            <w:tcW w:w="1418" w:type="dxa"/>
            <w:tcBorders>
              <w:top w:val="nil"/>
              <w:left w:val="nil"/>
              <w:bottom w:val="single" w:sz="4" w:space="0" w:color="auto"/>
              <w:right w:val="single" w:sz="4" w:space="0" w:color="auto"/>
            </w:tcBorders>
            <w:shd w:val="clear" w:color="auto" w:fill="auto"/>
            <w:vAlign w:val="center"/>
            <w:hideMark/>
          </w:tcPr>
          <w:p w14:paraId="639ABD0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80.45±25.64</w:t>
            </w:r>
          </w:p>
        </w:tc>
        <w:tc>
          <w:tcPr>
            <w:tcW w:w="2000" w:type="dxa"/>
            <w:tcBorders>
              <w:top w:val="nil"/>
              <w:left w:val="nil"/>
              <w:bottom w:val="single" w:sz="4" w:space="0" w:color="auto"/>
              <w:right w:val="single" w:sz="4" w:space="0" w:color="auto"/>
            </w:tcBorders>
            <w:shd w:val="clear" w:color="auto" w:fill="auto"/>
            <w:vAlign w:val="center"/>
            <w:hideMark/>
          </w:tcPr>
          <w:p w14:paraId="4251E718"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98.45±38.50</w:t>
            </w:r>
          </w:p>
        </w:tc>
        <w:tc>
          <w:tcPr>
            <w:tcW w:w="2005" w:type="dxa"/>
            <w:tcBorders>
              <w:top w:val="nil"/>
              <w:left w:val="nil"/>
              <w:bottom w:val="single" w:sz="4" w:space="0" w:color="auto"/>
              <w:right w:val="single" w:sz="4" w:space="0" w:color="auto"/>
            </w:tcBorders>
            <w:shd w:val="clear" w:color="auto" w:fill="auto"/>
            <w:noWrap/>
            <w:vAlign w:val="bottom"/>
            <w:hideMark/>
          </w:tcPr>
          <w:p w14:paraId="5B1B56B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96.72±35.63</w:t>
            </w:r>
          </w:p>
        </w:tc>
      </w:tr>
      <w:tr w:rsidR="009660E1" w:rsidRPr="009660E1" w14:paraId="4847D369"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80CF119"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Mitral E wave velocity &gt;90cm/s %</w:t>
            </w:r>
          </w:p>
        </w:tc>
        <w:tc>
          <w:tcPr>
            <w:tcW w:w="1491" w:type="dxa"/>
            <w:tcBorders>
              <w:top w:val="nil"/>
              <w:left w:val="nil"/>
              <w:bottom w:val="single" w:sz="4" w:space="0" w:color="auto"/>
              <w:right w:val="single" w:sz="4" w:space="0" w:color="auto"/>
            </w:tcBorders>
            <w:shd w:val="clear" w:color="auto" w:fill="auto"/>
            <w:noWrap/>
            <w:vAlign w:val="bottom"/>
            <w:hideMark/>
          </w:tcPr>
          <w:p w14:paraId="238A44F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22.67%</w:t>
            </w:r>
          </w:p>
        </w:tc>
        <w:tc>
          <w:tcPr>
            <w:tcW w:w="1418" w:type="dxa"/>
            <w:tcBorders>
              <w:top w:val="nil"/>
              <w:left w:val="nil"/>
              <w:bottom w:val="single" w:sz="4" w:space="0" w:color="auto"/>
              <w:right w:val="single" w:sz="4" w:space="0" w:color="auto"/>
            </w:tcBorders>
            <w:shd w:val="clear" w:color="auto" w:fill="auto"/>
            <w:vAlign w:val="center"/>
            <w:hideMark/>
          </w:tcPr>
          <w:p w14:paraId="0A83AAF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24.48%</w:t>
            </w:r>
          </w:p>
        </w:tc>
        <w:tc>
          <w:tcPr>
            <w:tcW w:w="2000" w:type="dxa"/>
            <w:tcBorders>
              <w:top w:val="nil"/>
              <w:left w:val="nil"/>
              <w:bottom w:val="single" w:sz="4" w:space="0" w:color="auto"/>
              <w:right w:val="single" w:sz="4" w:space="0" w:color="auto"/>
            </w:tcBorders>
            <w:shd w:val="clear" w:color="auto" w:fill="auto"/>
            <w:vAlign w:val="center"/>
            <w:hideMark/>
          </w:tcPr>
          <w:p w14:paraId="7841ADC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39.98%</w:t>
            </w:r>
          </w:p>
        </w:tc>
        <w:tc>
          <w:tcPr>
            <w:tcW w:w="2005" w:type="dxa"/>
            <w:tcBorders>
              <w:top w:val="nil"/>
              <w:left w:val="nil"/>
              <w:bottom w:val="single" w:sz="4" w:space="0" w:color="auto"/>
              <w:right w:val="single" w:sz="4" w:space="0" w:color="auto"/>
            </w:tcBorders>
            <w:shd w:val="clear" w:color="auto" w:fill="auto"/>
            <w:noWrap/>
            <w:vAlign w:val="bottom"/>
            <w:hideMark/>
          </w:tcPr>
          <w:p w14:paraId="0AB4770D"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42.12%</w:t>
            </w:r>
          </w:p>
        </w:tc>
      </w:tr>
      <w:tr w:rsidR="009660E1" w:rsidRPr="009660E1" w14:paraId="4E6659CE"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6864B00"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 septal e’ velocity</w:t>
            </w:r>
          </w:p>
        </w:tc>
        <w:tc>
          <w:tcPr>
            <w:tcW w:w="1491" w:type="dxa"/>
            <w:tcBorders>
              <w:top w:val="nil"/>
              <w:left w:val="nil"/>
              <w:bottom w:val="single" w:sz="4" w:space="0" w:color="auto"/>
              <w:right w:val="single" w:sz="4" w:space="0" w:color="auto"/>
            </w:tcBorders>
            <w:shd w:val="clear" w:color="auto" w:fill="auto"/>
            <w:noWrap/>
            <w:vAlign w:val="bottom"/>
            <w:hideMark/>
          </w:tcPr>
          <w:p w14:paraId="68F7E908"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8.37±3.00</w:t>
            </w:r>
          </w:p>
        </w:tc>
        <w:tc>
          <w:tcPr>
            <w:tcW w:w="1418" w:type="dxa"/>
            <w:tcBorders>
              <w:top w:val="nil"/>
              <w:left w:val="nil"/>
              <w:bottom w:val="single" w:sz="4" w:space="0" w:color="auto"/>
              <w:right w:val="single" w:sz="4" w:space="0" w:color="auto"/>
            </w:tcBorders>
            <w:shd w:val="clear" w:color="auto" w:fill="auto"/>
            <w:vAlign w:val="center"/>
            <w:hideMark/>
          </w:tcPr>
          <w:p w14:paraId="09B3D44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8.35±3.00</w:t>
            </w:r>
          </w:p>
        </w:tc>
        <w:tc>
          <w:tcPr>
            <w:tcW w:w="2000" w:type="dxa"/>
            <w:tcBorders>
              <w:top w:val="nil"/>
              <w:left w:val="nil"/>
              <w:bottom w:val="single" w:sz="4" w:space="0" w:color="auto"/>
              <w:right w:val="single" w:sz="4" w:space="0" w:color="auto"/>
            </w:tcBorders>
            <w:shd w:val="clear" w:color="auto" w:fill="auto"/>
            <w:vAlign w:val="center"/>
            <w:hideMark/>
          </w:tcPr>
          <w:p w14:paraId="52E3E27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5.55±2.27</w:t>
            </w:r>
          </w:p>
        </w:tc>
        <w:tc>
          <w:tcPr>
            <w:tcW w:w="2005" w:type="dxa"/>
            <w:tcBorders>
              <w:top w:val="nil"/>
              <w:left w:val="nil"/>
              <w:bottom w:val="single" w:sz="4" w:space="0" w:color="auto"/>
              <w:right w:val="single" w:sz="4" w:space="0" w:color="auto"/>
            </w:tcBorders>
            <w:shd w:val="clear" w:color="auto" w:fill="auto"/>
            <w:noWrap/>
            <w:vAlign w:val="bottom"/>
            <w:hideMark/>
          </w:tcPr>
          <w:p w14:paraId="0B72CE7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6.49±2.19</w:t>
            </w:r>
          </w:p>
        </w:tc>
      </w:tr>
      <w:tr w:rsidR="009660E1" w:rsidRPr="009660E1" w14:paraId="053691E3"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79019BD"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LV septal e’ velocity &lt;9cm/s %</w:t>
            </w:r>
          </w:p>
        </w:tc>
        <w:tc>
          <w:tcPr>
            <w:tcW w:w="1491" w:type="dxa"/>
            <w:tcBorders>
              <w:top w:val="nil"/>
              <w:left w:val="nil"/>
              <w:bottom w:val="single" w:sz="4" w:space="0" w:color="auto"/>
              <w:right w:val="single" w:sz="4" w:space="0" w:color="auto"/>
            </w:tcBorders>
            <w:shd w:val="clear" w:color="auto" w:fill="auto"/>
            <w:noWrap/>
            <w:vAlign w:val="bottom"/>
            <w:hideMark/>
          </w:tcPr>
          <w:p w14:paraId="7E3842B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25.71%</w:t>
            </w:r>
          </w:p>
        </w:tc>
        <w:tc>
          <w:tcPr>
            <w:tcW w:w="1418" w:type="dxa"/>
            <w:tcBorders>
              <w:top w:val="nil"/>
              <w:left w:val="nil"/>
              <w:bottom w:val="single" w:sz="4" w:space="0" w:color="auto"/>
              <w:right w:val="single" w:sz="4" w:space="0" w:color="auto"/>
            </w:tcBorders>
            <w:shd w:val="clear" w:color="auto" w:fill="auto"/>
            <w:vAlign w:val="center"/>
            <w:hideMark/>
          </w:tcPr>
          <w:p w14:paraId="4F639B1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27.08%</w:t>
            </w:r>
          </w:p>
        </w:tc>
        <w:tc>
          <w:tcPr>
            <w:tcW w:w="2000" w:type="dxa"/>
            <w:tcBorders>
              <w:top w:val="nil"/>
              <w:left w:val="nil"/>
              <w:bottom w:val="single" w:sz="4" w:space="0" w:color="auto"/>
              <w:right w:val="single" w:sz="4" w:space="0" w:color="auto"/>
            </w:tcBorders>
            <w:shd w:val="clear" w:color="auto" w:fill="auto"/>
            <w:vAlign w:val="center"/>
            <w:hideMark/>
          </w:tcPr>
          <w:p w14:paraId="3B4218C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2.78%</w:t>
            </w:r>
          </w:p>
        </w:tc>
        <w:tc>
          <w:tcPr>
            <w:tcW w:w="2005" w:type="dxa"/>
            <w:tcBorders>
              <w:top w:val="nil"/>
              <w:left w:val="nil"/>
              <w:bottom w:val="single" w:sz="4" w:space="0" w:color="auto"/>
              <w:right w:val="single" w:sz="4" w:space="0" w:color="auto"/>
            </w:tcBorders>
            <w:shd w:val="clear" w:color="auto" w:fill="auto"/>
            <w:noWrap/>
            <w:vAlign w:val="bottom"/>
            <w:hideMark/>
          </w:tcPr>
          <w:p w14:paraId="71BD4615"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8.82%</w:t>
            </w:r>
          </w:p>
        </w:tc>
      </w:tr>
      <w:tr w:rsidR="009660E1" w:rsidRPr="009660E1" w14:paraId="467EBC54"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987677E"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Mitral E:e’ ratio</w:t>
            </w:r>
          </w:p>
        </w:tc>
        <w:tc>
          <w:tcPr>
            <w:tcW w:w="1491" w:type="dxa"/>
            <w:tcBorders>
              <w:top w:val="nil"/>
              <w:left w:val="nil"/>
              <w:bottom w:val="single" w:sz="4" w:space="0" w:color="auto"/>
              <w:right w:val="single" w:sz="4" w:space="0" w:color="auto"/>
            </w:tcBorders>
            <w:shd w:val="clear" w:color="auto" w:fill="auto"/>
            <w:noWrap/>
            <w:vAlign w:val="bottom"/>
            <w:hideMark/>
          </w:tcPr>
          <w:p w14:paraId="7A99FED3"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10.40±4.81</w:t>
            </w:r>
          </w:p>
        </w:tc>
        <w:tc>
          <w:tcPr>
            <w:tcW w:w="1418" w:type="dxa"/>
            <w:tcBorders>
              <w:top w:val="nil"/>
              <w:left w:val="nil"/>
              <w:bottom w:val="single" w:sz="4" w:space="0" w:color="auto"/>
              <w:right w:val="single" w:sz="4" w:space="0" w:color="auto"/>
            </w:tcBorders>
            <w:shd w:val="clear" w:color="auto" w:fill="auto"/>
            <w:vAlign w:val="center"/>
            <w:hideMark/>
          </w:tcPr>
          <w:p w14:paraId="00D1CB6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10.45±4.84</w:t>
            </w:r>
          </w:p>
        </w:tc>
        <w:tc>
          <w:tcPr>
            <w:tcW w:w="2000" w:type="dxa"/>
            <w:tcBorders>
              <w:top w:val="nil"/>
              <w:left w:val="nil"/>
              <w:bottom w:val="single" w:sz="4" w:space="0" w:color="auto"/>
              <w:right w:val="single" w:sz="4" w:space="0" w:color="auto"/>
            </w:tcBorders>
            <w:shd w:val="clear" w:color="auto" w:fill="auto"/>
            <w:vAlign w:val="center"/>
            <w:hideMark/>
          </w:tcPr>
          <w:p w14:paraId="0B742348"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18.36±9.39</w:t>
            </w:r>
          </w:p>
        </w:tc>
        <w:tc>
          <w:tcPr>
            <w:tcW w:w="2005" w:type="dxa"/>
            <w:tcBorders>
              <w:top w:val="nil"/>
              <w:left w:val="nil"/>
              <w:bottom w:val="single" w:sz="4" w:space="0" w:color="auto"/>
              <w:right w:val="single" w:sz="4" w:space="0" w:color="auto"/>
            </w:tcBorders>
            <w:shd w:val="clear" w:color="auto" w:fill="auto"/>
            <w:noWrap/>
            <w:vAlign w:val="bottom"/>
            <w:hideMark/>
          </w:tcPr>
          <w:p w14:paraId="017A28E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15.42±7.63</w:t>
            </w:r>
          </w:p>
        </w:tc>
      </w:tr>
      <w:tr w:rsidR="009660E1" w:rsidRPr="009660E1" w14:paraId="2FF9CA9E"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70BC563"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Mitral E:e’ ratio &gt;9 %</w:t>
            </w:r>
          </w:p>
        </w:tc>
        <w:tc>
          <w:tcPr>
            <w:tcW w:w="1491" w:type="dxa"/>
            <w:tcBorders>
              <w:top w:val="nil"/>
              <w:left w:val="nil"/>
              <w:bottom w:val="single" w:sz="4" w:space="0" w:color="auto"/>
              <w:right w:val="single" w:sz="4" w:space="0" w:color="auto"/>
            </w:tcBorders>
            <w:shd w:val="clear" w:color="auto" w:fill="auto"/>
            <w:noWrap/>
            <w:vAlign w:val="bottom"/>
            <w:hideMark/>
          </w:tcPr>
          <w:p w14:paraId="69A02CA5"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30.02%</w:t>
            </w:r>
          </w:p>
        </w:tc>
        <w:tc>
          <w:tcPr>
            <w:tcW w:w="1418" w:type="dxa"/>
            <w:tcBorders>
              <w:top w:val="nil"/>
              <w:left w:val="nil"/>
              <w:bottom w:val="single" w:sz="4" w:space="0" w:color="auto"/>
              <w:right w:val="single" w:sz="4" w:space="0" w:color="auto"/>
            </w:tcBorders>
            <w:shd w:val="clear" w:color="auto" w:fill="auto"/>
            <w:vAlign w:val="center"/>
            <w:hideMark/>
          </w:tcPr>
          <w:p w14:paraId="40DDB34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32.20%</w:t>
            </w:r>
          </w:p>
        </w:tc>
        <w:tc>
          <w:tcPr>
            <w:tcW w:w="2000" w:type="dxa"/>
            <w:tcBorders>
              <w:top w:val="nil"/>
              <w:left w:val="nil"/>
              <w:bottom w:val="single" w:sz="4" w:space="0" w:color="auto"/>
              <w:right w:val="single" w:sz="4" w:space="0" w:color="auto"/>
            </w:tcBorders>
            <w:shd w:val="clear" w:color="auto" w:fill="auto"/>
            <w:vAlign w:val="center"/>
            <w:hideMark/>
          </w:tcPr>
          <w:p w14:paraId="14344008"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33.18%</w:t>
            </w:r>
          </w:p>
        </w:tc>
        <w:tc>
          <w:tcPr>
            <w:tcW w:w="2005" w:type="dxa"/>
            <w:tcBorders>
              <w:top w:val="nil"/>
              <w:left w:val="nil"/>
              <w:bottom w:val="single" w:sz="4" w:space="0" w:color="auto"/>
              <w:right w:val="single" w:sz="4" w:space="0" w:color="auto"/>
            </w:tcBorders>
            <w:shd w:val="clear" w:color="auto" w:fill="auto"/>
            <w:noWrap/>
            <w:vAlign w:val="bottom"/>
            <w:hideMark/>
          </w:tcPr>
          <w:p w14:paraId="33892915"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44.53%</w:t>
            </w:r>
          </w:p>
        </w:tc>
      </w:tr>
      <w:tr w:rsidR="009660E1" w:rsidRPr="009660E1" w14:paraId="5842A27E" w14:textId="77777777" w:rsidTr="00811AAC">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CDEEDE3"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Left atrial volume index, ml/m</w:t>
            </w:r>
            <w:r w:rsidRPr="009660E1">
              <w:rPr>
                <w:rFonts w:ascii="Calibri" w:eastAsia="Times New Roman" w:hAnsi="Calibri" w:cs="Calibri"/>
                <w:color w:val="000000"/>
                <w:sz w:val="20"/>
                <w:szCs w:val="20"/>
                <w:vertAlign w:val="superscript"/>
                <w:lang w:eastAsia="en-AU"/>
              </w:rPr>
              <w:t>2</w:t>
            </w:r>
          </w:p>
        </w:tc>
        <w:tc>
          <w:tcPr>
            <w:tcW w:w="1491" w:type="dxa"/>
            <w:tcBorders>
              <w:top w:val="nil"/>
              <w:left w:val="nil"/>
              <w:bottom w:val="single" w:sz="4" w:space="0" w:color="auto"/>
              <w:right w:val="single" w:sz="4" w:space="0" w:color="auto"/>
            </w:tcBorders>
            <w:shd w:val="clear" w:color="auto" w:fill="auto"/>
            <w:noWrap/>
            <w:vAlign w:val="bottom"/>
            <w:hideMark/>
          </w:tcPr>
          <w:p w14:paraId="2F58D2D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43.67±31.13</w:t>
            </w:r>
          </w:p>
        </w:tc>
        <w:tc>
          <w:tcPr>
            <w:tcW w:w="1418" w:type="dxa"/>
            <w:tcBorders>
              <w:top w:val="nil"/>
              <w:left w:val="nil"/>
              <w:bottom w:val="single" w:sz="4" w:space="0" w:color="auto"/>
              <w:right w:val="single" w:sz="4" w:space="0" w:color="auto"/>
            </w:tcBorders>
            <w:shd w:val="clear" w:color="auto" w:fill="auto"/>
            <w:vAlign w:val="center"/>
            <w:hideMark/>
          </w:tcPr>
          <w:p w14:paraId="7D9C5BF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44.57±31.80</w:t>
            </w:r>
          </w:p>
        </w:tc>
        <w:tc>
          <w:tcPr>
            <w:tcW w:w="2000" w:type="dxa"/>
            <w:tcBorders>
              <w:top w:val="nil"/>
              <w:left w:val="nil"/>
              <w:bottom w:val="single" w:sz="4" w:space="0" w:color="auto"/>
              <w:right w:val="single" w:sz="4" w:space="0" w:color="auto"/>
            </w:tcBorders>
            <w:shd w:val="clear" w:color="auto" w:fill="auto"/>
            <w:vAlign w:val="center"/>
            <w:hideMark/>
          </w:tcPr>
          <w:p w14:paraId="7281DE5C"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53.57±23.21</w:t>
            </w:r>
          </w:p>
        </w:tc>
        <w:tc>
          <w:tcPr>
            <w:tcW w:w="2005" w:type="dxa"/>
            <w:tcBorders>
              <w:top w:val="nil"/>
              <w:left w:val="nil"/>
              <w:bottom w:val="single" w:sz="4" w:space="0" w:color="auto"/>
              <w:right w:val="single" w:sz="4" w:space="0" w:color="auto"/>
            </w:tcBorders>
            <w:shd w:val="clear" w:color="auto" w:fill="auto"/>
            <w:noWrap/>
            <w:vAlign w:val="bottom"/>
            <w:hideMark/>
          </w:tcPr>
          <w:p w14:paraId="7B3C6D86"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42.17±18.38</w:t>
            </w:r>
          </w:p>
        </w:tc>
      </w:tr>
      <w:tr w:rsidR="009660E1" w:rsidRPr="009660E1" w14:paraId="1A1BCED3" w14:textId="77777777" w:rsidTr="00811AAC">
        <w:trPr>
          <w:trHeight w:val="30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0F609C82"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Left atrial volume index, &gt;34 ml/m</w:t>
            </w:r>
            <w:r w:rsidRPr="009660E1">
              <w:rPr>
                <w:rFonts w:ascii="Calibri" w:eastAsia="Times New Roman" w:hAnsi="Calibri" w:cs="Calibri"/>
                <w:color w:val="000000"/>
                <w:sz w:val="20"/>
                <w:szCs w:val="20"/>
                <w:vertAlign w:val="superscript"/>
                <w:lang w:eastAsia="en-AU"/>
              </w:rPr>
              <w:t>2</w:t>
            </w:r>
            <w:r w:rsidRPr="009660E1">
              <w:rPr>
                <w:rFonts w:ascii="Calibri" w:eastAsia="Times New Roman" w:hAnsi="Calibri" w:cs="Calibri"/>
                <w:color w:val="000000"/>
                <w:lang w:eastAsia="en-AU"/>
              </w:rPr>
              <w:t> %</w:t>
            </w:r>
          </w:p>
        </w:tc>
        <w:tc>
          <w:tcPr>
            <w:tcW w:w="1491" w:type="dxa"/>
            <w:tcBorders>
              <w:top w:val="nil"/>
              <w:left w:val="nil"/>
              <w:bottom w:val="single" w:sz="4" w:space="0" w:color="auto"/>
              <w:right w:val="single" w:sz="4" w:space="0" w:color="auto"/>
            </w:tcBorders>
            <w:shd w:val="clear" w:color="auto" w:fill="auto"/>
            <w:noWrap/>
            <w:vAlign w:val="bottom"/>
            <w:hideMark/>
          </w:tcPr>
          <w:p w14:paraId="0860EDD0"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21.88%</w:t>
            </w:r>
          </w:p>
        </w:tc>
        <w:tc>
          <w:tcPr>
            <w:tcW w:w="1418" w:type="dxa"/>
            <w:tcBorders>
              <w:top w:val="nil"/>
              <w:left w:val="nil"/>
              <w:bottom w:val="single" w:sz="4" w:space="0" w:color="auto"/>
              <w:right w:val="single" w:sz="4" w:space="0" w:color="auto"/>
            </w:tcBorders>
            <w:shd w:val="clear" w:color="auto" w:fill="auto"/>
            <w:vAlign w:val="center"/>
            <w:hideMark/>
          </w:tcPr>
          <w:p w14:paraId="098FFC17"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23.72%</w:t>
            </w:r>
          </w:p>
        </w:tc>
        <w:tc>
          <w:tcPr>
            <w:tcW w:w="2000" w:type="dxa"/>
            <w:tcBorders>
              <w:top w:val="nil"/>
              <w:left w:val="nil"/>
              <w:bottom w:val="single" w:sz="4" w:space="0" w:color="auto"/>
              <w:right w:val="single" w:sz="4" w:space="0" w:color="auto"/>
            </w:tcBorders>
            <w:shd w:val="clear" w:color="auto" w:fill="auto"/>
            <w:vAlign w:val="center"/>
            <w:hideMark/>
          </w:tcPr>
          <w:p w14:paraId="73C6A251"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36.75%</w:t>
            </w:r>
          </w:p>
        </w:tc>
        <w:tc>
          <w:tcPr>
            <w:tcW w:w="2005" w:type="dxa"/>
            <w:tcBorders>
              <w:top w:val="nil"/>
              <w:left w:val="nil"/>
              <w:bottom w:val="single" w:sz="4" w:space="0" w:color="auto"/>
              <w:right w:val="single" w:sz="4" w:space="0" w:color="auto"/>
            </w:tcBorders>
            <w:shd w:val="clear" w:color="auto" w:fill="auto"/>
            <w:noWrap/>
            <w:vAlign w:val="bottom"/>
            <w:hideMark/>
          </w:tcPr>
          <w:p w14:paraId="264E04D3"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27.85%</w:t>
            </w:r>
          </w:p>
        </w:tc>
      </w:tr>
      <w:tr w:rsidR="009660E1" w:rsidRPr="009660E1" w14:paraId="4A104363" w14:textId="77777777" w:rsidTr="00811AAC">
        <w:trPr>
          <w:trHeight w:val="28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7DA22A9" w14:textId="77777777" w:rsidR="009660E1" w:rsidRPr="009660E1" w:rsidRDefault="009660E1" w:rsidP="009660E1">
            <w:pPr>
              <w:spacing w:after="0" w:line="240" w:lineRule="auto"/>
              <w:rPr>
                <w:rFonts w:ascii="Calibri" w:eastAsia="Times New Roman" w:hAnsi="Calibri" w:cs="Calibri"/>
                <w:color w:val="000000"/>
                <w:lang w:eastAsia="en-AU"/>
              </w:rPr>
            </w:pPr>
            <w:r w:rsidRPr="009660E1">
              <w:rPr>
                <w:rFonts w:ascii="Calibri" w:eastAsia="Times New Roman" w:hAnsi="Calibri" w:cs="Calibri"/>
                <w:color w:val="000000"/>
                <w:lang w:eastAsia="en-AU"/>
              </w:rPr>
              <w:t>Moderate-to-Severe mitral regurgitation, %</w:t>
            </w:r>
          </w:p>
        </w:tc>
        <w:tc>
          <w:tcPr>
            <w:tcW w:w="1491" w:type="dxa"/>
            <w:tcBorders>
              <w:top w:val="nil"/>
              <w:left w:val="nil"/>
              <w:bottom w:val="single" w:sz="4" w:space="0" w:color="auto"/>
              <w:right w:val="single" w:sz="4" w:space="0" w:color="auto"/>
            </w:tcBorders>
            <w:shd w:val="clear" w:color="auto" w:fill="auto"/>
            <w:noWrap/>
            <w:vAlign w:val="bottom"/>
            <w:hideMark/>
          </w:tcPr>
          <w:p w14:paraId="4670751A"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5.53%</w:t>
            </w:r>
          </w:p>
        </w:tc>
        <w:tc>
          <w:tcPr>
            <w:tcW w:w="1418" w:type="dxa"/>
            <w:tcBorders>
              <w:top w:val="nil"/>
              <w:left w:val="nil"/>
              <w:bottom w:val="single" w:sz="4" w:space="0" w:color="auto"/>
              <w:right w:val="single" w:sz="4" w:space="0" w:color="auto"/>
            </w:tcBorders>
            <w:shd w:val="clear" w:color="auto" w:fill="auto"/>
            <w:vAlign w:val="center"/>
            <w:hideMark/>
          </w:tcPr>
          <w:p w14:paraId="634939C4"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5.83%</w:t>
            </w:r>
          </w:p>
        </w:tc>
        <w:tc>
          <w:tcPr>
            <w:tcW w:w="2000" w:type="dxa"/>
            <w:tcBorders>
              <w:top w:val="nil"/>
              <w:left w:val="nil"/>
              <w:bottom w:val="single" w:sz="4" w:space="0" w:color="auto"/>
              <w:right w:val="single" w:sz="4" w:space="0" w:color="auto"/>
            </w:tcBorders>
            <w:shd w:val="clear" w:color="auto" w:fill="auto"/>
            <w:vAlign w:val="center"/>
            <w:hideMark/>
          </w:tcPr>
          <w:p w14:paraId="0B39ED72"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22.05%</w:t>
            </w:r>
          </w:p>
        </w:tc>
        <w:tc>
          <w:tcPr>
            <w:tcW w:w="2005" w:type="dxa"/>
            <w:tcBorders>
              <w:top w:val="nil"/>
              <w:left w:val="nil"/>
              <w:bottom w:val="single" w:sz="4" w:space="0" w:color="auto"/>
              <w:right w:val="single" w:sz="4" w:space="0" w:color="auto"/>
            </w:tcBorders>
            <w:shd w:val="clear" w:color="auto" w:fill="auto"/>
            <w:noWrap/>
            <w:vAlign w:val="bottom"/>
            <w:hideMark/>
          </w:tcPr>
          <w:p w14:paraId="4856EEB4" w14:textId="77777777" w:rsidR="009660E1" w:rsidRPr="009660E1" w:rsidRDefault="009660E1" w:rsidP="009660E1">
            <w:pPr>
              <w:spacing w:after="0" w:line="240" w:lineRule="auto"/>
              <w:jc w:val="center"/>
              <w:rPr>
                <w:rFonts w:ascii="Calibri" w:eastAsia="Times New Roman" w:hAnsi="Calibri" w:cs="Calibri"/>
                <w:color w:val="000000"/>
                <w:sz w:val="20"/>
                <w:szCs w:val="20"/>
                <w:lang w:eastAsia="en-AU"/>
              </w:rPr>
            </w:pPr>
            <w:r w:rsidRPr="009660E1">
              <w:rPr>
                <w:rFonts w:ascii="Calibri" w:eastAsia="Times New Roman" w:hAnsi="Calibri" w:cs="Calibri"/>
                <w:color w:val="000000"/>
                <w:sz w:val="20"/>
                <w:szCs w:val="20"/>
                <w:lang w:eastAsia="en-AU"/>
              </w:rPr>
              <w:t>10.31%</w:t>
            </w:r>
          </w:p>
        </w:tc>
      </w:tr>
    </w:tbl>
    <w:p w14:paraId="2C74A4DF" w14:textId="77777777" w:rsidR="008F341E" w:rsidRDefault="008F341E" w:rsidP="009660E1">
      <w:pPr>
        <w:rPr>
          <w:b/>
          <w:bCs/>
        </w:rPr>
      </w:pPr>
    </w:p>
    <w:p w14:paraId="0074B418" w14:textId="0AC3298D" w:rsidR="009660E1" w:rsidRPr="008F341E" w:rsidRDefault="009660E1" w:rsidP="0025628B">
      <w:pPr>
        <w:ind w:left="-709"/>
        <w:rPr>
          <w:b/>
          <w:bCs/>
        </w:rPr>
      </w:pPr>
      <w:r w:rsidRPr="008F341E">
        <w:rPr>
          <w:b/>
          <w:bCs/>
        </w:rPr>
        <w:t>L</w:t>
      </w:r>
      <w:r w:rsidR="0061686D">
        <w:rPr>
          <w:b/>
          <w:bCs/>
        </w:rPr>
        <w:t>egend</w:t>
      </w:r>
      <w:r w:rsidRPr="008F341E">
        <w:rPr>
          <w:b/>
          <w:bCs/>
        </w:rPr>
        <w:t>:</w:t>
      </w:r>
      <w:r w:rsidR="00CB0A16">
        <w:rPr>
          <w:b/>
          <w:bCs/>
        </w:rPr>
        <w:t xml:space="preserve"> </w:t>
      </w:r>
    </w:p>
    <w:p w14:paraId="16A7CF12" w14:textId="4F767B1C" w:rsidR="009660E1" w:rsidRDefault="009660E1" w:rsidP="0025628B">
      <w:pPr>
        <w:spacing w:after="0" w:line="360" w:lineRule="auto"/>
        <w:ind w:left="-426" w:right="-613"/>
      </w:pPr>
      <w:r>
        <w:t>*All patients must have both a valid AV peak gradient and LVOT peak velocity to be included</w:t>
      </w:r>
      <w:r>
        <w:tab/>
      </w:r>
    </w:p>
    <w:p w14:paraId="3EBFA886" w14:textId="77777777" w:rsidR="009660E1" w:rsidRDefault="009660E1" w:rsidP="0025628B">
      <w:pPr>
        <w:spacing w:after="0" w:line="360" w:lineRule="auto"/>
        <w:ind w:left="-426" w:right="-613"/>
      </w:pPr>
      <w:r>
        <w:t># AV Peak Gradient ≥ 30mmHg AND LVOT peak velocity &lt; 2.0m/</w:t>
      </w:r>
      <w:proofErr w:type="gramStart"/>
      <w:r>
        <w:t>s;</w:t>
      </w:r>
      <w:proofErr w:type="gramEnd"/>
      <w:r>
        <w:tab/>
      </w:r>
      <w:r>
        <w:tab/>
      </w:r>
      <w:r>
        <w:tab/>
      </w:r>
      <w:r>
        <w:tab/>
      </w:r>
    </w:p>
    <w:p w14:paraId="387732A7" w14:textId="354B62BC" w:rsidR="009660E1" w:rsidRDefault="009660E1" w:rsidP="0025628B">
      <w:pPr>
        <w:spacing w:after="0" w:line="360" w:lineRule="auto"/>
        <w:ind w:left="-426" w:right="-613"/>
      </w:pPr>
      <w:r>
        <w:t>ǂ AV Peak Gradient ≥ 30mmHg AND LVOT peak velocity &gt;= 2.0m/s.</w:t>
      </w:r>
      <w:r>
        <w:tab/>
      </w:r>
      <w:r>
        <w:tab/>
      </w:r>
      <w:r>
        <w:tab/>
      </w:r>
      <w:r>
        <w:tab/>
      </w:r>
    </w:p>
    <w:p w14:paraId="230ADC53" w14:textId="7441C184" w:rsidR="007F6B73" w:rsidRDefault="00AD3B9E" w:rsidP="0025628B">
      <w:pPr>
        <w:spacing w:after="0" w:line="360" w:lineRule="auto"/>
        <w:ind w:left="-426" w:right="-613"/>
      </w:pPr>
      <w:r>
        <w:t>This table</w:t>
      </w:r>
      <w:r w:rsidR="009660E1">
        <w:t xml:space="preserve"> shows a sensitivity analysis of the potential for aortic stenosis to interact with oHCM. Aortic stenosis typically has normal (or low) LVOT velocities, as opposed to oHCM where the velocity elevation is found in the LVOT and not the aortic valve. The first column summarises the characteristics of the whole NEDA population. The second column summarises the characteristics of all individuals with HCM. The third column shows HCM patients with high AV gradients and normal LVOT velocities, many of whom may have aortic stenosis noting that image review has not been performed to clarify which of these patients have AS vs LVOT obstruction. The final column shows Patients with HCM, high AV gradients and elevated LVOT velocities, most of whom are assumed to have oHCM.</w:t>
      </w:r>
      <w:r w:rsidR="009660E1">
        <w:tab/>
      </w:r>
    </w:p>
    <w:p w14:paraId="5DACFFA7" w14:textId="77777777" w:rsidR="007F6B73" w:rsidRDefault="007F6B73">
      <w:r>
        <w:br w:type="page"/>
      </w:r>
    </w:p>
    <w:p w14:paraId="22082C8D" w14:textId="61802ECE" w:rsidR="007F6B73" w:rsidRPr="007F6B73" w:rsidRDefault="007F6B73" w:rsidP="007F6B73">
      <w:pPr>
        <w:spacing w:line="240" w:lineRule="auto"/>
        <w:rPr>
          <w:rFonts w:cstheme="minorHAnsi"/>
          <w:b/>
          <w:bCs/>
          <w:sz w:val="28"/>
          <w:szCs w:val="28"/>
        </w:rPr>
      </w:pPr>
      <w:r>
        <w:rPr>
          <w:rFonts w:cstheme="minorHAnsi"/>
          <w:b/>
          <w:bCs/>
          <w:sz w:val="28"/>
          <w:szCs w:val="28"/>
        </w:rPr>
        <w:lastRenderedPageBreak/>
        <w:t xml:space="preserve">Supplementary </w:t>
      </w:r>
      <w:r w:rsidRPr="00E35525">
        <w:rPr>
          <w:rFonts w:cstheme="minorHAnsi"/>
          <w:b/>
          <w:bCs/>
          <w:sz w:val="28"/>
          <w:szCs w:val="28"/>
        </w:rPr>
        <w:t xml:space="preserve">Figure </w:t>
      </w:r>
      <w:r>
        <w:rPr>
          <w:rFonts w:cstheme="minorHAnsi"/>
          <w:b/>
          <w:bCs/>
          <w:sz w:val="28"/>
          <w:szCs w:val="28"/>
        </w:rPr>
        <w:t>S1</w:t>
      </w:r>
      <w:r w:rsidRPr="00E35525">
        <w:rPr>
          <w:rFonts w:cstheme="minorHAnsi"/>
          <w:b/>
          <w:bCs/>
          <w:sz w:val="28"/>
          <w:szCs w:val="28"/>
        </w:rPr>
        <w:t>.</w:t>
      </w:r>
      <w:r>
        <w:rPr>
          <w:rFonts w:cstheme="minorHAnsi"/>
          <w:b/>
          <w:bCs/>
          <w:sz w:val="28"/>
          <w:szCs w:val="28"/>
        </w:rPr>
        <w:t xml:space="preserve"> </w:t>
      </w:r>
      <w:r w:rsidRPr="00E35525">
        <w:rPr>
          <w:rFonts w:cstheme="minorHAnsi"/>
          <w:b/>
          <w:bCs/>
          <w:sz w:val="28"/>
          <w:szCs w:val="28"/>
        </w:rPr>
        <w:t xml:space="preserve">Projected </w:t>
      </w:r>
      <w:r>
        <w:rPr>
          <w:rFonts w:cstheme="minorHAnsi"/>
          <w:b/>
          <w:bCs/>
          <w:sz w:val="28"/>
          <w:szCs w:val="28"/>
        </w:rPr>
        <w:t>ASH</w:t>
      </w:r>
      <w:r w:rsidRPr="00E35525">
        <w:rPr>
          <w:rFonts w:cstheme="minorHAnsi"/>
          <w:b/>
          <w:bCs/>
          <w:sz w:val="28"/>
          <w:szCs w:val="28"/>
        </w:rPr>
        <w:t xml:space="preserve"> Cases Uncovered by Echo in Australia (2021)</w:t>
      </w:r>
    </w:p>
    <w:p w14:paraId="19186183" w14:textId="113DB150" w:rsidR="007F6B73" w:rsidRDefault="00811AAC" w:rsidP="00807B85">
      <w:pPr>
        <w:spacing w:after="0" w:line="360" w:lineRule="auto"/>
        <w:ind w:left="-567" w:right="-613"/>
      </w:pPr>
      <w:r w:rsidRPr="00811AAC">
        <w:rPr>
          <w:noProof/>
        </w:rPr>
        <w:drawing>
          <wp:inline distT="0" distB="0" distL="0" distR="0" wp14:anchorId="06C7F407" wp14:editId="6E973DC6">
            <wp:extent cx="6616652" cy="3835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1450" cy="3855571"/>
                    </a:xfrm>
                    <a:prstGeom prst="rect">
                      <a:avLst/>
                    </a:prstGeom>
                  </pic:spPr>
                </pic:pic>
              </a:graphicData>
            </a:graphic>
          </wp:inline>
        </w:drawing>
      </w:r>
    </w:p>
    <w:p w14:paraId="13869CF2" w14:textId="2E6D441D" w:rsidR="007B71CF" w:rsidRDefault="00811AAC" w:rsidP="00807B85">
      <w:pPr>
        <w:spacing w:after="0" w:line="360" w:lineRule="auto"/>
        <w:ind w:left="-567" w:right="-613"/>
      </w:pPr>
      <w:r w:rsidRPr="00811AAC">
        <w:rPr>
          <w:noProof/>
        </w:rPr>
        <w:drawing>
          <wp:inline distT="0" distB="0" distL="0" distR="0" wp14:anchorId="48B1507F" wp14:editId="41EF4254">
            <wp:extent cx="6572833"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2441" cy="3821366"/>
                    </a:xfrm>
                    <a:prstGeom prst="rect">
                      <a:avLst/>
                    </a:prstGeom>
                  </pic:spPr>
                </pic:pic>
              </a:graphicData>
            </a:graphic>
          </wp:inline>
        </w:drawing>
      </w:r>
    </w:p>
    <w:p w14:paraId="30DAD0A5" w14:textId="77777777" w:rsidR="00CB0A16" w:rsidRDefault="00CB0A16" w:rsidP="0047533C">
      <w:pPr>
        <w:spacing w:after="0" w:line="360" w:lineRule="auto"/>
        <w:ind w:left="-426" w:right="-613"/>
      </w:pPr>
    </w:p>
    <w:p w14:paraId="5D490405" w14:textId="7CF110D5" w:rsidR="007B71CF" w:rsidRPr="009660E1" w:rsidRDefault="007B71CF" w:rsidP="006916D3">
      <w:pPr>
        <w:spacing w:line="360" w:lineRule="auto"/>
        <w:ind w:left="-284"/>
      </w:pPr>
      <w:r w:rsidRPr="008F341E">
        <w:rPr>
          <w:b/>
          <w:bCs/>
        </w:rPr>
        <w:t>L</w:t>
      </w:r>
      <w:r>
        <w:rPr>
          <w:b/>
          <w:bCs/>
        </w:rPr>
        <w:t xml:space="preserve">egend: </w:t>
      </w:r>
      <w:r w:rsidR="0047533C">
        <w:t>This graph s</w:t>
      </w:r>
      <w:r w:rsidR="0047533C" w:rsidRPr="0047533C">
        <w:t xml:space="preserve">hows the estimated distribution of specific </w:t>
      </w:r>
      <w:r w:rsidR="0047533C">
        <w:t>a</w:t>
      </w:r>
      <w:r w:rsidR="0047533C" w:rsidRPr="0047533C">
        <w:t xml:space="preserve">symmetric </w:t>
      </w:r>
      <w:r w:rsidR="0047533C">
        <w:t>se</w:t>
      </w:r>
      <w:r w:rsidR="0047533C" w:rsidRPr="0047533C">
        <w:t xml:space="preserve">ptal </w:t>
      </w:r>
      <w:r w:rsidR="0047533C">
        <w:t>h</w:t>
      </w:r>
      <w:r w:rsidR="0047533C" w:rsidRPr="0047533C">
        <w:t>ypertrophy (</w:t>
      </w:r>
      <w:r w:rsidR="0047533C">
        <w:t>ASH)</w:t>
      </w:r>
      <w:r w:rsidR="0047533C" w:rsidRPr="0047533C">
        <w:t xml:space="preserve"> cases (total of 5476 men and 3,191 women</w:t>
      </w:r>
      <w:r w:rsidR="006916D3">
        <w:t xml:space="preserve"> with ASH</w:t>
      </w:r>
      <w:r w:rsidR="0047533C" w:rsidRPr="0047533C">
        <w:t>) based on the demographic/geographic distribution of the Australian population in 2021.</w:t>
      </w:r>
      <w:r w:rsidRPr="0047533C">
        <w:rPr>
          <w:rFonts w:cstheme="minorHAnsi"/>
        </w:rPr>
        <w:t xml:space="preserve"> ASH</w:t>
      </w:r>
      <w:r w:rsidR="0047533C">
        <w:rPr>
          <w:rFonts w:cstheme="minorHAnsi"/>
        </w:rPr>
        <w:t xml:space="preserve"> is</w:t>
      </w:r>
      <w:r w:rsidRPr="0047533C">
        <w:rPr>
          <w:rFonts w:cstheme="minorHAnsi"/>
        </w:rPr>
        <w:t xml:space="preserve"> defined as septal to posterior wall thickness ratio &gt;1.3</w:t>
      </w:r>
      <w:r w:rsidR="00811AAC" w:rsidRPr="0047533C">
        <w:rPr>
          <w:rFonts w:cstheme="minorHAnsi"/>
        </w:rPr>
        <w:t>.</w:t>
      </w:r>
    </w:p>
    <w:sectPr w:rsidR="007B71CF" w:rsidRPr="009660E1" w:rsidSect="0025628B">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BB08AC"/>
    <w:multiLevelType w:val="hybridMultilevel"/>
    <w:tmpl w:val="B11280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86837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886"/>
    <w:rsid w:val="00024A5D"/>
    <w:rsid w:val="00031351"/>
    <w:rsid w:val="001236D8"/>
    <w:rsid w:val="00251E6A"/>
    <w:rsid w:val="0025628B"/>
    <w:rsid w:val="0037557A"/>
    <w:rsid w:val="00384AFE"/>
    <w:rsid w:val="00427B76"/>
    <w:rsid w:val="0047105D"/>
    <w:rsid w:val="0047533C"/>
    <w:rsid w:val="004B22CD"/>
    <w:rsid w:val="004E4B0A"/>
    <w:rsid w:val="00532E32"/>
    <w:rsid w:val="005A12BD"/>
    <w:rsid w:val="005B4564"/>
    <w:rsid w:val="005F0D81"/>
    <w:rsid w:val="0061686D"/>
    <w:rsid w:val="006916D3"/>
    <w:rsid w:val="007B71CF"/>
    <w:rsid w:val="007D5C93"/>
    <w:rsid w:val="007F6B73"/>
    <w:rsid w:val="00807B85"/>
    <w:rsid w:val="00811AAC"/>
    <w:rsid w:val="008F341E"/>
    <w:rsid w:val="00926D8D"/>
    <w:rsid w:val="009660E1"/>
    <w:rsid w:val="00975EB6"/>
    <w:rsid w:val="009833B3"/>
    <w:rsid w:val="00AD3B9E"/>
    <w:rsid w:val="00B00B2E"/>
    <w:rsid w:val="00B06886"/>
    <w:rsid w:val="00B25738"/>
    <w:rsid w:val="00C03A11"/>
    <w:rsid w:val="00C63053"/>
    <w:rsid w:val="00C918B6"/>
    <w:rsid w:val="00CB0A16"/>
    <w:rsid w:val="00D21E07"/>
    <w:rsid w:val="00D563D9"/>
    <w:rsid w:val="00EB7C4C"/>
    <w:rsid w:val="00EC0279"/>
    <w:rsid w:val="00EF2E87"/>
    <w:rsid w:val="00F32DFA"/>
    <w:rsid w:val="00FB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088A"/>
  <w15:chartTrackingRefBased/>
  <w15:docId w15:val="{42925E9F-EC68-4A6B-8587-FBE0D3A4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886"/>
    <w:pPr>
      <w:spacing w:after="0" w:line="240" w:lineRule="auto"/>
      <w:ind w:left="720"/>
    </w:pPr>
    <w:rPr>
      <w:rFonts w:ascii="Calibri" w:hAnsi="Calibri" w:cs="Calibri"/>
      <w:lang w:eastAsia="en-AU"/>
    </w:rPr>
  </w:style>
  <w:style w:type="table" w:styleId="TableGrid">
    <w:name w:val="Table Grid"/>
    <w:basedOn w:val="TableNormal"/>
    <w:uiPriority w:val="39"/>
    <w:rsid w:val="00B06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6561">
      <w:bodyDiv w:val="1"/>
      <w:marLeft w:val="0"/>
      <w:marRight w:val="0"/>
      <w:marTop w:val="0"/>
      <w:marBottom w:val="0"/>
      <w:divBdr>
        <w:top w:val="none" w:sz="0" w:space="0" w:color="auto"/>
        <w:left w:val="none" w:sz="0" w:space="0" w:color="auto"/>
        <w:bottom w:val="none" w:sz="0" w:space="0" w:color="auto"/>
        <w:right w:val="none" w:sz="0" w:space="0" w:color="auto"/>
      </w:divBdr>
    </w:div>
    <w:div w:id="623343916">
      <w:bodyDiv w:val="1"/>
      <w:marLeft w:val="0"/>
      <w:marRight w:val="0"/>
      <w:marTop w:val="0"/>
      <w:marBottom w:val="0"/>
      <w:divBdr>
        <w:top w:val="none" w:sz="0" w:space="0" w:color="auto"/>
        <w:left w:val="none" w:sz="0" w:space="0" w:color="auto"/>
        <w:bottom w:val="none" w:sz="0" w:space="0" w:color="auto"/>
        <w:right w:val="none" w:sz="0" w:space="0" w:color="auto"/>
      </w:divBdr>
    </w:div>
    <w:div w:id="865867343">
      <w:bodyDiv w:val="1"/>
      <w:marLeft w:val="0"/>
      <w:marRight w:val="0"/>
      <w:marTop w:val="0"/>
      <w:marBottom w:val="0"/>
      <w:divBdr>
        <w:top w:val="none" w:sz="0" w:space="0" w:color="auto"/>
        <w:left w:val="none" w:sz="0" w:space="0" w:color="auto"/>
        <w:bottom w:val="none" w:sz="0" w:space="0" w:color="auto"/>
        <w:right w:val="none" w:sz="0" w:space="0" w:color="auto"/>
      </w:divBdr>
    </w:div>
    <w:div w:id="1433236896">
      <w:bodyDiv w:val="1"/>
      <w:marLeft w:val="0"/>
      <w:marRight w:val="0"/>
      <w:marTop w:val="0"/>
      <w:marBottom w:val="0"/>
      <w:divBdr>
        <w:top w:val="none" w:sz="0" w:space="0" w:color="auto"/>
        <w:left w:val="none" w:sz="0" w:space="0" w:color="auto"/>
        <w:bottom w:val="none" w:sz="0" w:space="0" w:color="auto"/>
        <w:right w:val="none" w:sz="0" w:space="0" w:color="auto"/>
      </w:divBdr>
    </w:div>
    <w:div w:id="15272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3710C4585314692653C552C877587" ma:contentTypeVersion="18" ma:contentTypeDescription="Create a new document." ma:contentTypeScope="" ma:versionID="9febb18700dede3ea76d8c8d70c3cb1f">
  <xsd:schema xmlns:xsd="http://www.w3.org/2001/XMLSchema" xmlns:xs="http://www.w3.org/2001/XMLSchema" xmlns:p="http://schemas.microsoft.com/office/2006/metadata/properties" xmlns:ns2="e48fd4c7-f8f9-49f1-b55d-133c1ed3965c" xmlns:ns3="1fdc1f0b-3ee0-43bc-be2f-516ec68af4f9" targetNamespace="http://schemas.microsoft.com/office/2006/metadata/properties" ma:root="true" ma:fieldsID="df89dce7a7b50f019c3cd6da61cc7805" ns2:_="" ns3:_="">
    <xsd:import namespace="e48fd4c7-f8f9-49f1-b55d-133c1ed3965c"/>
    <xsd:import namespace="1fdc1f0b-3ee0-43bc-be2f-516ec68af4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est"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fd4c7-f8f9-49f1-b55d-133c1ed39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est" ma:index="12" nillable="true" ma:displayName="Test" ma:format="DateOnly" ma:internalName="Test">
      <xsd:simpleType>
        <xsd:restriction base="dms:DateTim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915255-81d9-4448-a773-f29d99b63e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c1f0b-3ee0-43bc-be2f-516ec68af4f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c176c02-6b7e-47d2-b104-f36c2be3956d}" ma:internalName="TaxCatchAll" ma:showField="CatchAllData" ma:web="1fdc1f0b-3ee0-43bc-be2f-516ec68af4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C4B85-152E-47D2-9802-7A30CDD0A5BD}">
  <ds:schemaRefs>
    <ds:schemaRef ds:uri="http://schemas.microsoft.com/sharepoint/v3/contenttype/forms"/>
  </ds:schemaRefs>
</ds:datastoreItem>
</file>

<file path=customXml/itemProps2.xml><?xml version="1.0" encoding="utf-8"?>
<ds:datastoreItem xmlns:ds="http://schemas.openxmlformats.org/officeDocument/2006/customXml" ds:itemID="{BCDBFFE8-EA86-4B3A-8473-39DBF6A03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fd4c7-f8f9-49f1-b55d-133c1ed3965c"/>
    <ds:schemaRef ds:uri="1fdc1f0b-3ee0-43bc-be2f-516ec68af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Samuel Cairns</cp:lastModifiedBy>
  <cp:revision>2</cp:revision>
  <dcterms:created xsi:type="dcterms:W3CDTF">2024-10-01T01:26:00Z</dcterms:created>
  <dcterms:modified xsi:type="dcterms:W3CDTF">2024-10-01T01:26:00Z</dcterms:modified>
</cp:coreProperties>
</file>