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4488" w14:textId="77777777" w:rsidR="003A3323" w:rsidRDefault="003A3323" w:rsidP="003A332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material 4 (t</w:t>
      </w:r>
      <w:r w:rsidRPr="00D13A78">
        <w:rPr>
          <w:rFonts w:ascii="Times New Roman" w:hAnsi="Times New Roman" w:cs="Times New Roman"/>
          <w:b/>
          <w:bCs/>
          <w:sz w:val="20"/>
          <w:szCs w:val="20"/>
        </w:rPr>
        <w:t>able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13A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5F7159D" w14:textId="77777777" w:rsidR="003A3323" w:rsidRPr="00E24180" w:rsidRDefault="003A3323" w:rsidP="003A332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Screening against the parameters of surgery as defined by the World Health Organisation</w:t>
      </w:r>
    </w:p>
    <w:p w14:paraId="7304D36A" w14:textId="77777777" w:rsidR="003A3323" w:rsidRPr="00D13A78" w:rsidRDefault="003A3323" w:rsidP="003A3323">
      <w:pPr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316"/>
        <w:gridCol w:w="1418"/>
        <w:gridCol w:w="1276"/>
        <w:gridCol w:w="1275"/>
        <w:gridCol w:w="2127"/>
      </w:tblGrid>
      <w:tr w:rsidR="003A3323" w14:paraId="6BC32E44" w14:textId="77777777" w:rsidTr="003F4D05">
        <w:trPr>
          <w:trHeight w:val="581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B2F903B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Author, year</w:t>
            </w:r>
          </w:p>
        </w:tc>
        <w:tc>
          <w:tcPr>
            <w:tcW w:w="14316" w:type="dxa"/>
            <w:shd w:val="clear" w:color="auto" w:fill="E2EFD9" w:themeFill="accent6" w:themeFillTint="33"/>
            <w:vAlign w:val="center"/>
          </w:tcPr>
          <w:p w14:paraId="0ABCF1B1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Procedures performed by nurses in the study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0D90C701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Invasive procedure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62F3195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Performed Aseptically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B8DC7CA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Anaesthesia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9368618" w14:textId="77777777" w:rsidR="003A3323" w:rsidRPr="004F2892" w:rsidRDefault="003A3323" w:rsidP="003F4D05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F28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Investigate and/or treat surgical conditions</w:t>
            </w:r>
          </w:p>
        </w:tc>
      </w:tr>
      <w:tr w:rsidR="003A3323" w14:paraId="0718D9F9" w14:textId="77777777" w:rsidTr="003F4D05">
        <w:trPr>
          <w:trHeight w:val="381"/>
        </w:trPr>
        <w:tc>
          <w:tcPr>
            <w:tcW w:w="2122" w:type="dxa"/>
          </w:tcPr>
          <w:p w14:paraId="39D2E7F5" w14:textId="77777777" w:rsidR="003A3323" w:rsidRPr="00D13A78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4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Bodle et al., 2008</w:t>
              </w:r>
            </w:hyperlink>
          </w:p>
        </w:tc>
        <w:tc>
          <w:tcPr>
            <w:tcW w:w="14316" w:type="dxa"/>
          </w:tcPr>
          <w:p w14:paraId="6B19623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47344">
              <w:rPr>
                <w:rFonts w:ascii="Times New Roman" w:hAnsi="Times New Roman" w:cs="Times New Roman"/>
                <w:sz w:val="20"/>
                <w:szCs w:val="20"/>
              </w:rPr>
              <w:t>Hysteroscopy</w:t>
            </w:r>
          </w:p>
        </w:tc>
        <w:tc>
          <w:tcPr>
            <w:tcW w:w="1418" w:type="dxa"/>
          </w:tcPr>
          <w:p w14:paraId="47D9CB5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095BCAD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2182417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1D1699D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72306DC2" w14:textId="77777777" w:rsidTr="003F4D05">
        <w:trPr>
          <w:trHeight w:val="384"/>
        </w:trPr>
        <w:tc>
          <w:tcPr>
            <w:tcW w:w="2122" w:type="dxa"/>
            <w:shd w:val="clear" w:color="auto" w:fill="EDEDED" w:themeFill="accent3" w:themeFillTint="33"/>
          </w:tcPr>
          <w:p w14:paraId="5F6EEB8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5" w:history="1"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Bolme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 xml:space="preserve"> et al., 2020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3D4DFA6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Intravitreal therapy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738CE868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FBCE28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0C4C365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62CD1F2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316FE947" w14:textId="77777777" w:rsidTr="003F4D05">
        <w:trPr>
          <w:trHeight w:val="348"/>
        </w:trPr>
        <w:tc>
          <w:tcPr>
            <w:tcW w:w="2122" w:type="dxa"/>
          </w:tcPr>
          <w:p w14:paraId="46EFA8D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6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C</w:t>
              </w:r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han et al., 2020</w:t>
              </w:r>
            </w:hyperlink>
          </w:p>
        </w:tc>
        <w:tc>
          <w:tcPr>
            <w:tcW w:w="14316" w:type="dxa"/>
          </w:tcPr>
          <w:p w14:paraId="732CC8D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nasal foreign body removal (96%),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tongue tie lysis (58%), nasopharyngoscopy (54%), flexible laryngo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copy (50%), functional endoscopic evaluation of swallowing (15%),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simple laceration repair (12%), drainage of peritonsillar abscess (8%),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DB">
              <w:rPr>
                <w:rFonts w:ascii="Times New Roman" w:hAnsi="Times New Roman" w:cs="Times New Roman"/>
                <w:sz w:val="20"/>
                <w:szCs w:val="20"/>
              </w:rPr>
              <w:t>stroboscopy</w:t>
            </w:r>
            <w:proofErr w:type="spellEnd"/>
            <w:r w:rsidRPr="00066FDB">
              <w:rPr>
                <w:rFonts w:ascii="Times New Roman" w:hAnsi="Times New Roman" w:cs="Times New Roman"/>
                <w:sz w:val="20"/>
                <w:szCs w:val="20"/>
              </w:rPr>
              <w:t xml:space="preserve"> (4%) and nasal cautery (4%)</w:t>
            </w:r>
          </w:p>
        </w:tc>
        <w:tc>
          <w:tcPr>
            <w:tcW w:w="1418" w:type="dxa"/>
          </w:tcPr>
          <w:p w14:paraId="1822F68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1058083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1C3ED1F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3108960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3C87D6C9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2D5509C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7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Chu et al., 2011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32641D76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1160F">
              <w:rPr>
                <w:rFonts w:ascii="Times New Roman" w:hAnsi="Times New Roman" w:cs="Times New Roman"/>
                <w:sz w:val="20"/>
                <w:szCs w:val="20"/>
              </w:rPr>
              <w:t>Mostly emergency obstetrics and minor operations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1160F">
              <w:rPr>
                <w:rFonts w:ascii="Times New Roman" w:hAnsi="Times New Roman" w:cs="Times New Roman"/>
                <w:sz w:val="20"/>
                <w:szCs w:val="20"/>
              </w:rPr>
              <w:t xml:space="preserve"> Caesarean sections, and uterine evacuations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5CB045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873757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206D747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2219380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52D47709" w14:textId="77777777" w:rsidTr="003F4D05">
        <w:trPr>
          <w:trHeight w:val="384"/>
        </w:trPr>
        <w:tc>
          <w:tcPr>
            <w:tcW w:w="2122" w:type="dxa"/>
          </w:tcPr>
          <w:p w14:paraId="4247C03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8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Collins, 2010</w:t>
              </w:r>
            </w:hyperlink>
          </w:p>
        </w:tc>
        <w:tc>
          <w:tcPr>
            <w:tcW w:w="14316" w:type="dxa"/>
          </w:tcPr>
          <w:p w14:paraId="55A6376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6C61">
              <w:rPr>
                <w:rFonts w:ascii="Times New Roman" w:hAnsi="Times New Roman" w:cs="Times New Roman"/>
                <w:sz w:val="20"/>
                <w:szCs w:val="20"/>
              </w:rPr>
              <w:t>Bone marrow aspiration and trephine biopsy</w:t>
            </w:r>
          </w:p>
        </w:tc>
        <w:tc>
          <w:tcPr>
            <w:tcW w:w="1418" w:type="dxa"/>
          </w:tcPr>
          <w:p w14:paraId="64A93FF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4C06D73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3D7C456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638079F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45B32F98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3BE780D7" w14:textId="77777777" w:rsidR="003A3323" w:rsidRDefault="003A3323" w:rsidP="003F4D05">
            <w:hyperlink r:id="rId9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D</w:t>
              </w:r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uncan et al., 2017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3B46998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Colonoscopy and polypectomy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E7C158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95294D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1024C9C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6E5ECB8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4205D6FA" w14:textId="77777777" w:rsidTr="003F4D05">
        <w:trPr>
          <w:trHeight w:val="348"/>
        </w:trPr>
        <w:tc>
          <w:tcPr>
            <w:tcW w:w="2122" w:type="dxa"/>
          </w:tcPr>
          <w:p w14:paraId="0635B88F" w14:textId="77777777" w:rsidR="003A3323" w:rsidRPr="00D13A78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0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G</w:t>
              </w:r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allagher, 2017</w:t>
              </w:r>
            </w:hyperlink>
          </w:p>
        </w:tc>
        <w:tc>
          <w:tcPr>
            <w:tcW w:w="14316" w:type="dxa"/>
          </w:tcPr>
          <w:p w14:paraId="55F5ED5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B1896">
              <w:rPr>
                <w:rFonts w:ascii="Times New Roman" w:hAnsi="Times New Roman" w:cs="Times New Roman"/>
                <w:sz w:val="20"/>
                <w:szCs w:val="20"/>
              </w:rPr>
              <w:t>ntravitreal therapy</w:t>
            </w:r>
          </w:p>
        </w:tc>
        <w:tc>
          <w:tcPr>
            <w:tcW w:w="1418" w:type="dxa"/>
          </w:tcPr>
          <w:p w14:paraId="569FD11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4C25440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4CB0D21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3678594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5B98779A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75151B05" w14:textId="77777777" w:rsidR="003A3323" w:rsidRDefault="003A3323" w:rsidP="003F4D05">
            <w:hyperlink r:id="rId11" w:history="1"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Giramonti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 xml:space="preserve"> &amp; Kogan, 2018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45BA85BA" w14:textId="77777777" w:rsidR="003A3323" w:rsidRPr="002369AF" w:rsidRDefault="003A3323" w:rsidP="003F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AF">
              <w:rPr>
                <w:rFonts w:ascii="Times New Roman" w:hAnsi="Times New Roman" w:cs="Times New Roman"/>
                <w:sz w:val="20"/>
                <w:szCs w:val="20"/>
              </w:rPr>
              <w:t>Sleeve circumcision procedure / revision of circumcision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1FA9149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4881E3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4FC7F7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5B2133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6EB66938" w14:textId="77777777" w:rsidTr="003F4D05">
        <w:trPr>
          <w:trHeight w:val="348"/>
        </w:trPr>
        <w:tc>
          <w:tcPr>
            <w:tcW w:w="2122" w:type="dxa"/>
          </w:tcPr>
          <w:p w14:paraId="03313F7E" w14:textId="77777777" w:rsidR="003A3323" w:rsidRPr="00D13A78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2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Godsell, 2005</w:t>
              </w:r>
            </w:hyperlink>
          </w:p>
        </w:tc>
        <w:tc>
          <w:tcPr>
            <w:tcW w:w="14316" w:type="dxa"/>
          </w:tcPr>
          <w:p w14:paraId="135D718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84945">
              <w:rPr>
                <w:rFonts w:ascii="Times New Roman" w:hAnsi="Times New Roman" w:cs="Times New Roman"/>
                <w:sz w:val="20"/>
                <w:szCs w:val="20"/>
              </w:rPr>
              <w:t>Punch biopsy, incision biopsy, and excision biopsy</w:t>
            </w:r>
          </w:p>
        </w:tc>
        <w:tc>
          <w:tcPr>
            <w:tcW w:w="1418" w:type="dxa"/>
          </w:tcPr>
          <w:p w14:paraId="02D84C9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3EFE13F8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3450DAE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1CEA972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2E7B12A8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66EF7B4F" w14:textId="77777777" w:rsidR="003A3323" w:rsidRDefault="003A3323" w:rsidP="003F4D05">
            <w:hyperlink r:id="rId13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H</w:t>
              </w:r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ickey &amp; Cooper, 2009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0C5A6A2E" w14:textId="77777777" w:rsidR="003A3323" w:rsidRPr="00EB5EA9" w:rsidRDefault="003A3323" w:rsidP="003F4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5EA9">
              <w:rPr>
                <w:rFonts w:ascii="Times New Roman" w:hAnsi="Times New Roman" w:cs="Times New Roman"/>
                <w:sz w:val="20"/>
                <w:szCs w:val="20"/>
              </w:rPr>
              <w:t>Sapheno</w:t>
            </w:r>
            <w:proofErr w:type="spellEnd"/>
            <w:r w:rsidRPr="00EB5EA9">
              <w:rPr>
                <w:rFonts w:ascii="Times New Roman" w:hAnsi="Times New Roman" w:cs="Times New Roman"/>
                <w:sz w:val="20"/>
                <w:szCs w:val="20"/>
              </w:rPr>
              <w:t xml:space="preserve">-femoral ligation, </w:t>
            </w:r>
          </w:p>
          <w:p w14:paraId="03A8307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B5EA9">
              <w:rPr>
                <w:rFonts w:ascii="Times New Roman" w:hAnsi="Times New Roman" w:cs="Times New Roman"/>
                <w:sz w:val="20"/>
                <w:szCs w:val="20"/>
              </w:rPr>
              <w:t xml:space="preserve">long saphenous vein stripping, varicose vein avulsions (phlebectomies),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EB5EA9">
              <w:rPr>
                <w:rFonts w:ascii="Times New Roman" w:hAnsi="Times New Roman" w:cs="Times New Roman"/>
                <w:sz w:val="20"/>
                <w:szCs w:val="20"/>
              </w:rPr>
              <w:t>independent groin wound closures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66572EB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39A7661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6044AC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DB4DC7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60938527" w14:textId="77777777" w:rsidTr="003F4D05">
        <w:trPr>
          <w:trHeight w:val="348"/>
        </w:trPr>
        <w:tc>
          <w:tcPr>
            <w:tcW w:w="2122" w:type="dxa"/>
          </w:tcPr>
          <w:p w14:paraId="428784CF" w14:textId="77777777" w:rsidR="003A3323" w:rsidRDefault="003A3323" w:rsidP="003F4D05">
            <w:hyperlink r:id="rId14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Hui et al., 2015</w:t>
              </w:r>
            </w:hyperlink>
          </w:p>
        </w:tc>
        <w:tc>
          <w:tcPr>
            <w:tcW w:w="14316" w:type="dxa"/>
          </w:tcPr>
          <w:p w14:paraId="63FEC18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230B6">
              <w:rPr>
                <w:rFonts w:ascii="Times New Roman" w:hAnsi="Times New Roman" w:cs="Times New Roman"/>
                <w:sz w:val="20"/>
                <w:szCs w:val="20"/>
              </w:rPr>
              <w:t>Colonoscopy and polypectomy</w:t>
            </w:r>
          </w:p>
        </w:tc>
        <w:tc>
          <w:tcPr>
            <w:tcW w:w="1418" w:type="dxa"/>
          </w:tcPr>
          <w:p w14:paraId="3F52569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54CFD74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4483DB5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1182C38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11EA2F60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16682015" w14:textId="77777777" w:rsidR="003A3323" w:rsidRDefault="003A3323" w:rsidP="003F4D05">
            <w:hyperlink r:id="rId15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James &amp; McPhail, 2008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33A3833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01AC">
              <w:rPr>
                <w:rFonts w:ascii="Times New Roman" w:hAnsi="Times New Roman" w:cs="Times New Roman"/>
                <w:sz w:val="20"/>
                <w:szCs w:val="20"/>
              </w:rPr>
              <w:t xml:space="preserve">Transrectal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01AC">
              <w:rPr>
                <w:rFonts w:ascii="Times New Roman" w:hAnsi="Times New Roman" w:cs="Times New Roman"/>
                <w:sz w:val="20"/>
                <w:szCs w:val="20"/>
              </w:rPr>
              <w:t>ltrasound and biopsy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2EDE106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ADE695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17AFC8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6359D8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216080AE" w14:textId="77777777" w:rsidTr="003F4D05">
        <w:trPr>
          <w:trHeight w:val="348"/>
        </w:trPr>
        <w:tc>
          <w:tcPr>
            <w:tcW w:w="2122" w:type="dxa"/>
          </w:tcPr>
          <w:p w14:paraId="602820BB" w14:textId="77777777" w:rsidR="003A3323" w:rsidRDefault="003A3323" w:rsidP="003F4D05">
            <w:hyperlink r:id="rId16" w:history="1"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Jejeebhoy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 xml:space="preserve"> et al., 2011</w:t>
              </w:r>
            </w:hyperlink>
          </w:p>
        </w:tc>
        <w:tc>
          <w:tcPr>
            <w:tcW w:w="14316" w:type="dxa"/>
          </w:tcPr>
          <w:p w14:paraId="7E7CA23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Manual vacuum aspiration</w:t>
            </w:r>
          </w:p>
        </w:tc>
        <w:tc>
          <w:tcPr>
            <w:tcW w:w="1418" w:type="dxa"/>
          </w:tcPr>
          <w:p w14:paraId="0E68E51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692A533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17C6477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2CB11AD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49071409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0E355860" w14:textId="77777777" w:rsidR="003A3323" w:rsidRDefault="003A3323" w:rsidP="003F4D05">
            <w:hyperlink r:id="rId17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  <w:bdr w:val="none" w:sz="0" w:space="0" w:color="auto" w:frame="1"/>
                  <w:lang w:eastAsia="en-GB"/>
                </w:rPr>
                <w:t>Kelly et al., 2008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2F8C011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Flexible sigmoidoscopy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9129B4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49DB0CE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738A5F7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1E7D53D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5510A269" w14:textId="77777777" w:rsidTr="003F4D05">
        <w:trPr>
          <w:trHeight w:val="348"/>
        </w:trPr>
        <w:tc>
          <w:tcPr>
            <w:tcW w:w="2122" w:type="dxa"/>
          </w:tcPr>
          <w:p w14:paraId="2F987370" w14:textId="77777777" w:rsidR="003A3323" w:rsidRDefault="003A3323" w:rsidP="003F4D05">
            <w:hyperlink r:id="rId18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Laker-</w:t>
              </w:r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Oketta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 xml:space="preserve"> et al., 2015</w:t>
              </w:r>
            </w:hyperlink>
          </w:p>
        </w:tc>
        <w:tc>
          <w:tcPr>
            <w:tcW w:w="14316" w:type="dxa"/>
          </w:tcPr>
          <w:p w14:paraId="0691652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D69EA">
              <w:rPr>
                <w:rFonts w:ascii="Times New Roman" w:hAnsi="Times New Roman" w:cs="Times New Roman"/>
                <w:sz w:val="20"/>
                <w:szCs w:val="20"/>
              </w:rPr>
              <w:t>Skin punch biopsy</w:t>
            </w:r>
          </w:p>
        </w:tc>
        <w:tc>
          <w:tcPr>
            <w:tcW w:w="1418" w:type="dxa"/>
          </w:tcPr>
          <w:p w14:paraId="12E37938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3BAE1536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2070977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1A6FFB8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7B9A8264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7A337D78" w14:textId="77777777" w:rsidR="003A3323" w:rsidRDefault="003A3323" w:rsidP="003F4D05">
            <w:hyperlink r:id="rId19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Lawson et al., 1999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246150F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D7AAF">
              <w:rPr>
                <w:rFonts w:ascii="Times New Roman" w:hAnsi="Times New Roman" w:cs="Times New Roman"/>
                <w:sz w:val="20"/>
                <w:szCs w:val="20"/>
              </w:rPr>
              <w:t>bone marrow aspirate and biopsy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46AFA3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70D6FC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398561A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4CFF5CD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5EAA8625" w14:textId="77777777" w:rsidTr="003F4D05">
        <w:trPr>
          <w:trHeight w:val="348"/>
        </w:trPr>
        <w:tc>
          <w:tcPr>
            <w:tcW w:w="2122" w:type="dxa"/>
          </w:tcPr>
          <w:p w14:paraId="71893D0C" w14:textId="77777777" w:rsidR="003A3323" w:rsidRDefault="003A3323" w:rsidP="003F4D05">
            <w:proofErr w:type="spellStart"/>
            <w:r w:rsidRPr="00D13A78">
              <w:rPr>
                <w:rFonts w:ascii="Times New Roman" w:hAnsi="Times New Roman" w:cs="Times New Roman"/>
                <w:sz w:val="19"/>
                <w:szCs w:val="19"/>
              </w:rPr>
              <w:t>Malata</w:t>
            </w:r>
            <w:proofErr w:type="spellEnd"/>
            <w:r w:rsidRPr="00D13A78">
              <w:rPr>
                <w:rFonts w:ascii="Times New Roman" w:hAnsi="Times New Roman" w:cs="Times New Roman"/>
                <w:sz w:val="19"/>
                <w:szCs w:val="19"/>
              </w:rPr>
              <w:t>, 2018</w:t>
            </w:r>
          </w:p>
        </w:tc>
        <w:tc>
          <w:tcPr>
            <w:tcW w:w="14316" w:type="dxa"/>
          </w:tcPr>
          <w:p w14:paraId="38F7E5FA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Corneal crosslinking</w:t>
            </w:r>
          </w:p>
        </w:tc>
        <w:tc>
          <w:tcPr>
            <w:tcW w:w="1418" w:type="dxa"/>
          </w:tcPr>
          <w:p w14:paraId="193E81F6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0E0C818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10D2C72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012E0CB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171ECDBC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4EE92617" w14:textId="77777777" w:rsidR="003A3323" w:rsidRDefault="003A3323" w:rsidP="003F4D05">
            <w:r w:rsidRPr="00D13A78">
              <w:rPr>
                <w:rFonts w:ascii="Times New Roman" w:hAnsi="Times New Roman" w:cs="Times New Roman"/>
                <w:sz w:val="19"/>
                <w:szCs w:val="19"/>
              </w:rPr>
              <w:t>Martin, 2002</w:t>
            </w:r>
          </w:p>
        </w:tc>
        <w:tc>
          <w:tcPr>
            <w:tcW w:w="14316" w:type="dxa"/>
            <w:shd w:val="clear" w:color="auto" w:fill="EDEDED" w:themeFill="accent3" w:themeFillTint="33"/>
          </w:tcPr>
          <w:p w14:paraId="61670DD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5AAF">
              <w:rPr>
                <w:rFonts w:ascii="Times New Roman" w:hAnsi="Times New Roman" w:cs="Times New Roman"/>
                <w:sz w:val="20"/>
                <w:szCs w:val="20"/>
              </w:rPr>
              <w:t>removal of minor skin lesions (suspicious moles, lipomas, sebaceous cysts, papilloma)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98A772D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00AC82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18AE1D1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6A9FFFA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398E5D9F" w14:textId="77777777" w:rsidTr="003F4D05">
        <w:trPr>
          <w:trHeight w:val="348"/>
        </w:trPr>
        <w:tc>
          <w:tcPr>
            <w:tcW w:w="2122" w:type="dxa"/>
          </w:tcPr>
          <w:p w14:paraId="13C75DA5" w14:textId="77777777" w:rsidR="003A3323" w:rsidRDefault="003A3323" w:rsidP="003F4D05">
            <w:hyperlink r:id="rId20" w:history="1"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Michelotti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 xml:space="preserve"> et al., 2014</w:t>
              </w:r>
            </w:hyperlink>
          </w:p>
        </w:tc>
        <w:tc>
          <w:tcPr>
            <w:tcW w:w="14316" w:type="dxa"/>
          </w:tcPr>
          <w:p w14:paraId="62604D3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D7AAF">
              <w:rPr>
                <w:rFonts w:ascii="Times New Roman" w:hAnsi="Times New Roman" w:cs="Times New Roman"/>
                <w:sz w:val="20"/>
                <w:szCs w:val="20"/>
              </w:rPr>
              <w:t>Intravitreal therapy</w:t>
            </w:r>
          </w:p>
        </w:tc>
        <w:tc>
          <w:tcPr>
            <w:tcW w:w="1418" w:type="dxa"/>
          </w:tcPr>
          <w:p w14:paraId="237E513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3FFF04A6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3562215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10A5893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6AFA3F72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25AA77A7" w14:textId="77777777" w:rsidR="003A3323" w:rsidRDefault="003A3323" w:rsidP="003F4D05">
            <w:hyperlink r:id="rId21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Newey et al., 2006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17BD01C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84945">
              <w:rPr>
                <w:rFonts w:ascii="Times New Roman" w:hAnsi="Times New Roman" w:cs="Times New Roman"/>
                <w:sz w:val="20"/>
                <w:szCs w:val="20"/>
              </w:rPr>
              <w:t>arpal tunnel decompressions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8FB284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66443F7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342DF9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1788824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04C148DB" w14:textId="77777777" w:rsidTr="003F4D05">
        <w:trPr>
          <w:trHeight w:val="348"/>
        </w:trPr>
        <w:tc>
          <w:tcPr>
            <w:tcW w:w="2122" w:type="dxa"/>
          </w:tcPr>
          <w:p w14:paraId="1D60E2F7" w14:textId="77777777" w:rsidR="003A3323" w:rsidRDefault="003A3323" w:rsidP="003F4D05">
            <w:r w:rsidRPr="00D13A78">
              <w:rPr>
                <w:rFonts w:ascii="Times New Roman" w:hAnsi="Times New Roman" w:cs="Times New Roman"/>
                <w:sz w:val="19"/>
                <w:szCs w:val="19"/>
              </w:rPr>
              <w:t>Palmquist, 2010</w:t>
            </w:r>
          </w:p>
        </w:tc>
        <w:tc>
          <w:tcPr>
            <w:tcW w:w="14316" w:type="dxa"/>
          </w:tcPr>
          <w:p w14:paraId="28EFDC9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Non-exhaustive list of category 1 basic Nurse Practitioner functions: n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eedle aspiration of joints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bursae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joint injections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kin tag removals, punch biopsies, and skin scrapings. Incis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and drain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age of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abscesses, removing lipomas,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ound care, including (but not limited) to debridement, irrigation, and drain removal,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estruction of skin, including but not limited to lesions by cryotherapy and chemicals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pap smears.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list of category 1 basic NP functions within the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eterans Health Administration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system continues for ten pages. Even more broad and unlimiting is category two specific/specialize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NP functions which include an entire page of blank spaces in which very specialized or highly trained functions can be listed.  For example, if 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urse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ractitioner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works in general surgery and would like to be trained by a surgeon on removing lipomas in the outpatient clinic setting then this can be listed after training and competence is determined (usually when the surgeon demonstrates the procedure and then the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urse 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ractitioner</w:t>
            </w:r>
            <w:r w:rsidRPr="005545CE">
              <w:rPr>
                <w:rFonts w:ascii="Times New Roman" w:hAnsi="Times New Roman" w:cs="Times New Roman"/>
                <w:sz w:val="20"/>
                <w:szCs w:val="20"/>
              </w:rPr>
              <w:t xml:space="preserve"> demonstrates the procedure on a patient).  The guidelines are very open and determined to be at the discretion of the NP, their comfort level, and the supervising surgeon</w:t>
            </w:r>
          </w:p>
        </w:tc>
        <w:tc>
          <w:tcPr>
            <w:tcW w:w="1418" w:type="dxa"/>
          </w:tcPr>
          <w:p w14:paraId="14EE9C4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20EDCFDF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5E4C587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31EA4E0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03BC9EEE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06149DE7" w14:textId="77777777" w:rsidR="003A3323" w:rsidRDefault="003A3323" w:rsidP="003F4D05">
            <w:hyperlink r:id="rId22" w:history="1">
              <w:proofErr w:type="spellStart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Sapre</w:t>
              </w:r>
              <w:proofErr w:type="spellEnd"/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 xml:space="preserve"> et al., 2012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5FFA5E1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1510E">
              <w:rPr>
                <w:rFonts w:ascii="Times New Roman" w:hAnsi="Times New Roman" w:cs="Times New Roman"/>
                <w:sz w:val="20"/>
                <w:szCs w:val="20"/>
              </w:rPr>
              <w:t>lexible cystoscop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22F7800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0BF75BD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2B8A4183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71FFF73C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6489B80E" w14:textId="77777777" w:rsidTr="003F4D05">
        <w:trPr>
          <w:trHeight w:val="348"/>
        </w:trPr>
        <w:tc>
          <w:tcPr>
            <w:tcW w:w="2122" w:type="dxa"/>
          </w:tcPr>
          <w:p w14:paraId="7629B3C0" w14:textId="77777777" w:rsidR="003A3323" w:rsidRDefault="003A3323" w:rsidP="003F4D05">
            <w:proofErr w:type="spellStart"/>
            <w:r w:rsidRPr="00D13A78">
              <w:rPr>
                <w:rFonts w:ascii="Times New Roman" w:hAnsi="Times New Roman" w:cs="Times New Roman"/>
                <w:sz w:val="19"/>
                <w:szCs w:val="19"/>
              </w:rPr>
              <w:t>Sturgess</w:t>
            </w:r>
            <w:proofErr w:type="spellEnd"/>
            <w:r w:rsidRPr="00D13A78">
              <w:rPr>
                <w:rFonts w:ascii="Times New Roman" w:hAnsi="Times New Roman" w:cs="Times New Roman"/>
                <w:sz w:val="19"/>
                <w:szCs w:val="19"/>
              </w:rPr>
              <w:t xml:space="preserve"> et al., 1996</w:t>
            </w:r>
          </w:p>
        </w:tc>
        <w:tc>
          <w:tcPr>
            <w:tcW w:w="14316" w:type="dxa"/>
          </w:tcPr>
          <w:p w14:paraId="38E1BBC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1510E">
              <w:rPr>
                <w:rFonts w:ascii="Times New Roman" w:hAnsi="Times New Roman" w:cs="Times New Roman"/>
                <w:sz w:val="20"/>
                <w:szCs w:val="20"/>
              </w:rPr>
              <w:t>Gastroscopy &amp; percutaneous endoscopic gastrostomy insertion</w:t>
            </w:r>
          </w:p>
        </w:tc>
        <w:tc>
          <w:tcPr>
            <w:tcW w:w="1418" w:type="dxa"/>
          </w:tcPr>
          <w:p w14:paraId="46EE3C1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3C83A33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2119F1B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7B5AC6C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207692C9" w14:textId="77777777" w:rsidTr="003F4D05">
        <w:trPr>
          <w:trHeight w:val="348"/>
        </w:trPr>
        <w:tc>
          <w:tcPr>
            <w:tcW w:w="2122" w:type="dxa"/>
            <w:shd w:val="clear" w:color="auto" w:fill="EDEDED" w:themeFill="accent3" w:themeFillTint="33"/>
          </w:tcPr>
          <w:p w14:paraId="1266EE98" w14:textId="77777777" w:rsidR="003A3323" w:rsidRDefault="003A3323" w:rsidP="003F4D05">
            <w:hyperlink r:id="rId23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White et al., 1987</w:t>
              </w:r>
            </w:hyperlink>
          </w:p>
        </w:tc>
        <w:tc>
          <w:tcPr>
            <w:tcW w:w="14316" w:type="dxa"/>
            <w:shd w:val="clear" w:color="auto" w:fill="EDEDED" w:themeFill="accent3" w:themeFillTint="33"/>
          </w:tcPr>
          <w:p w14:paraId="11DBFA37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3191C">
              <w:rPr>
                <w:rFonts w:ascii="Times New Roman" w:hAnsi="Times New Roman" w:cs="Times New Roman"/>
                <w:sz w:val="20"/>
                <w:szCs w:val="20"/>
              </w:rPr>
              <w:t>aesarean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section</w:t>
            </w:r>
            <w:r w:rsidRPr="0043191C">
              <w:rPr>
                <w:rFonts w:ascii="Times New Roman" w:hAnsi="Times New Roman" w:cs="Times New Roman"/>
                <w:sz w:val="20"/>
                <w:szCs w:val="20"/>
              </w:rPr>
              <w:t>, laparotom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y,</w:t>
            </w:r>
            <w:r w:rsidRPr="0043191C">
              <w:rPr>
                <w:rFonts w:ascii="Times New Roman" w:hAnsi="Times New Roman" w:cs="Times New Roman"/>
                <w:sz w:val="20"/>
                <w:szCs w:val="20"/>
              </w:rPr>
              <w:t xml:space="preserve"> and hysterectom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3191C">
              <w:rPr>
                <w:rFonts w:ascii="Times New Roman" w:hAnsi="Times New Roman" w:cs="Times New Roman"/>
                <w:sz w:val="20"/>
                <w:szCs w:val="20"/>
              </w:rPr>
              <w:t xml:space="preserve"> for ruptured uterus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3F1ABDE9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FF47ABE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115C8D4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  <w:shd w:val="clear" w:color="auto" w:fill="EDEDED" w:themeFill="accent3" w:themeFillTint="33"/>
          </w:tcPr>
          <w:p w14:paraId="1BC645F5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  <w:tr w:rsidR="003A3323" w14:paraId="344E5695" w14:textId="77777777" w:rsidTr="003F4D05">
        <w:trPr>
          <w:trHeight w:val="348"/>
        </w:trPr>
        <w:tc>
          <w:tcPr>
            <w:tcW w:w="2122" w:type="dxa"/>
          </w:tcPr>
          <w:p w14:paraId="7FE9E722" w14:textId="77777777" w:rsidR="003A3323" w:rsidRDefault="003A3323" w:rsidP="003F4D05">
            <w:hyperlink r:id="rId24" w:history="1">
              <w:r w:rsidRPr="00D13A78">
                <w:rPr>
                  <w:rStyle w:val="Hyperlink"/>
                  <w:rFonts w:ascii="Times New Roman" w:hAnsi="Times New Roman" w:cs="Times New Roman"/>
                  <w:sz w:val="19"/>
                  <w:szCs w:val="19"/>
                  <w:u w:val="none"/>
                </w:rPr>
                <w:t>Williams et al., 2020</w:t>
              </w:r>
            </w:hyperlink>
          </w:p>
        </w:tc>
        <w:tc>
          <w:tcPr>
            <w:tcW w:w="14316" w:type="dxa"/>
          </w:tcPr>
          <w:p w14:paraId="4B54F372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84945">
              <w:rPr>
                <w:rFonts w:ascii="Times New Roman" w:hAnsi="Times New Roman" w:cs="Times New Roman"/>
                <w:sz w:val="20"/>
                <w:szCs w:val="20"/>
              </w:rPr>
              <w:t>ircumcision</w:t>
            </w:r>
          </w:p>
        </w:tc>
        <w:tc>
          <w:tcPr>
            <w:tcW w:w="1418" w:type="dxa"/>
          </w:tcPr>
          <w:p w14:paraId="150C2C11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2C1C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6" w:type="dxa"/>
          </w:tcPr>
          <w:p w14:paraId="0F033EE0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45E1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1275" w:type="dxa"/>
          </w:tcPr>
          <w:p w14:paraId="0A8FE1C8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5A0B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  <w:tc>
          <w:tcPr>
            <w:tcW w:w="2127" w:type="dxa"/>
          </w:tcPr>
          <w:p w14:paraId="4CD5774B" w14:textId="77777777" w:rsidR="003A3323" w:rsidRDefault="003A3323" w:rsidP="003F4D0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27B0">
              <w:rPr>
                <w:rFonts w:ascii="Times New Roman" w:hAnsi="Times New Roman" w:cs="Times New Roman"/>
                <w:sz w:val="19"/>
                <w:szCs w:val="19"/>
              </w:rPr>
              <w:t>Yes</w:t>
            </w:r>
          </w:p>
        </w:tc>
      </w:tr>
    </w:tbl>
    <w:p w14:paraId="3C5C5FE8" w14:textId="77777777" w:rsidR="003A3323" w:rsidRPr="00D13A78" w:rsidRDefault="003A3323" w:rsidP="003A3323">
      <w:pPr>
        <w:rPr>
          <w:rFonts w:ascii="Times New Roman" w:hAnsi="Times New Roman" w:cs="Times New Roman"/>
          <w:sz w:val="19"/>
          <w:szCs w:val="19"/>
        </w:rPr>
      </w:pPr>
    </w:p>
    <w:p w14:paraId="3ED80F96" w14:textId="77777777" w:rsidR="003A3323" w:rsidRDefault="003A3323" w:rsidP="003A3323"/>
    <w:p w14:paraId="7280A79F" w14:textId="77777777" w:rsidR="008C4881" w:rsidRDefault="008C4881"/>
    <w:sectPr w:rsidR="008C4881" w:rsidSect="00111821">
      <w:pgSz w:w="27360" w:h="187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23"/>
    <w:rsid w:val="00132898"/>
    <w:rsid w:val="001636FF"/>
    <w:rsid w:val="003A3323"/>
    <w:rsid w:val="004F001F"/>
    <w:rsid w:val="00561785"/>
    <w:rsid w:val="005D42FC"/>
    <w:rsid w:val="0073049C"/>
    <w:rsid w:val="007B21BD"/>
    <w:rsid w:val="007D39CC"/>
    <w:rsid w:val="00815510"/>
    <w:rsid w:val="00830E44"/>
    <w:rsid w:val="008C4881"/>
    <w:rsid w:val="00957CA8"/>
    <w:rsid w:val="00A5246E"/>
    <w:rsid w:val="00A73FAA"/>
    <w:rsid w:val="00B9006B"/>
    <w:rsid w:val="00CF595C"/>
    <w:rsid w:val="00CF5F83"/>
    <w:rsid w:val="00D63AAB"/>
    <w:rsid w:val="00DD1874"/>
    <w:rsid w:val="00DF3A00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949A6"/>
  <w15:chartTrackingRefBased/>
  <w15:docId w15:val="{62456935-3B29-0F44-9ACD-A8CC82F5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ale.com/apps/doc/A227280416/AONE?u=anon~e7013c4b&amp;sid=googleScholar&amp;xid=364091c0" TargetMode="External"/><Relationship Id="rId13" Type="http://schemas.openxmlformats.org/officeDocument/2006/relationships/hyperlink" Target="https://doi.org/10.1258/phleb.2008.008023" TargetMode="External"/><Relationship Id="rId18" Type="http://schemas.openxmlformats.org/officeDocument/2006/relationships/hyperlink" Target="https://doi.org/10.1159/00037516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308/003588406X114712" TargetMode="External"/><Relationship Id="rId7" Type="http://schemas.openxmlformats.org/officeDocument/2006/relationships/hyperlink" Target="https://doi.org/10.1186/1752-1505-5-12" TargetMode="External"/><Relationship Id="rId12" Type="http://schemas.openxmlformats.org/officeDocument/2006/relationships/hyperlink" Target="https://doi.org/10.12968/bjon.2005.14.13.18443" TargetMode="External"/><Relationship Id="rId17" Type="http://schemas.openxmlformats.org/officeDocument/2006/relationships/hyperlink" Target="https://doi.org/10.1111/j.1463-1318.2007.01271.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i.org/10.1016/j.contraception.2011.08.010" TargetMode="External"/><Relationship Id="rId20" Type="http://schemas.openxmlformats.org/officeDocument/2006/relationships/hyperlink" Target="https://doi.org/10.2147/OPTH.S5998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ijporl.2019.109770" TargetMode="External"/><Relationship Id="rId11" Type="http://schemas.openxmlformats.org/officeDocument/2006/relationships/hyperlink" Target="https://doi.org/10.1016/j.jpurol.2018.07.027" TargetMode="External"/><Relationship Id="rId24" Type="http://schemas.openxmlformats.org/officeDocument/2006/relationships/hyperlink" Target="https://doi.org/10.1016/j.jpurol.2020.08.008" TargetMode="External"/><Relationship Id="rId5" Type="http://schemas.openxmlformats.org/officeDocument/2006/relationships/hyperlink" Target="https://doi.org/10.1111/aos.14184" TargetMode="External"/><Relationship Id="rId15" Type="http://schemas.openxmlformats.org/officeDocument/2006/relationships/hyperlink" Target="https://doi.org/10.7748/cnp2008.04.7.3.28.c6460" TargetMode="External"/><Relationship Id="rId23" Type="http://schemas.openxmlformats.org/officeDocument/2006/relationships/hyperlink" Target="https://doi.org/10.1016/S0140-6736(87)92996-5" TargetMode="External"/><Relationship Id="rId10" Type="http://schemas.openxmlformats.org/officeDocument/2006/relationships/hyperlink" Target="https://doi.org/10.12968/bjon.2017.26.14.800" TargetMode="External"/><Relationship Id="rId19" Type="http://schemas.openxmlformats.org/officeDocument/2006/relationships/hyperlink" Target="https://doi.org/10.1136/jcp.52.2.154" TargetMode="External"/><Relationship Id="rId4" Type="http://schemas.openxmlformats.org/officeDocument/2006/relationships/hyperlink" Target="https://doi.org/10.1016/j.ijgo.2008.07.002" TargetMode="External"/><Relationship Id="rId9" Type="http://schemas.openxmlformats.org/officeDocument/2006/relationships/hyperlink" Target="https://doi.org/10.1097/SGA.0000000000000264" TargetMode="External"/><Relationship Id="rId14" Type="http://schemas.openxmlformats.org/officeDocument/2006/relationships/hyperlink" Target="https://doi.org/10.1136/gutjnl-2013-306293" TargetMode="External"/><Relationship Id="rId22" Type="http://schemas.openxmlformats.org/officeDocument/2006/relationships/hyperlink" Target="https://doi.org/10.1111/j.1464-410X.2012.11472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Tenber Grota</dc:creator>
  <cp:keywords/>
  <dc:description/>
  <cp:lastModifiedBy>Tenber Grota</cp:lastModifiedBy>
  <cp:revision>1</cp:revision>
  <dcterms:created xsi:type="dcterms:W3CDTF">2021-12-15T02:19:00Z</dcterms:created>
  <dcterms:modified xsi:type="dcterms:W3CDTF">2021-12-15T02:19:00Z</dcterms:modified>
</cp:coreProperties>
</file>