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1328"/>
        <w:tblW w:w="15660" w:type="dxa"/>
        <w:tblLayout w:type="fixed"/>
        <w:tblLook w:val="04A0" w:firstRow="1" w:lastRow="0" w:firstColumn="1" w:lastColumn="0" w:noHBand="0" w:noVBand="1"/>
      </w:tblPr>
      <w:tblGrid>
        <w:gridCol w:w="1440"/>
        <w:gridCol w:w="1008"/>
        <w:gridCol w:w="1418"/>
        <w:gridCol w:w="1559"/>
        <w:gridCol w:w="1701"/>
        <w:gridCol w:w="1334"/>
        <w:gridCol w:w="367"/>
        <w:gridCol w:w="1276"/>
        <w:gridCol w:w="1472"/>
        <w:gridCol w:w="1295"/>
        <w:gridCol w:w="1440"/>
        <w:gridCol w:w="1350"/>
      </w:tblGrid>
      <w:tr w:rsidR="00CD03D8" w:rsidRPr="00433FE9" w:rsidTr="00903D02">
        <w:trPr>
          <w:trHeight w:val="241"/>
        </w:trPr>
        <w:tc>
          <w:tcPr>
            <w:tcW w:w="15660" w:type="dxa"/>
            <w:gridSpan w:val="1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CD03D8" w:rsidRPr="00433FE9" w:rsidRDefault="00CD03D8" w:rsidP="00903D02">
            <w:pPr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eastAsia="Calibri" w:hAnsi="Times New Roman" w:cs="Times New Roman"/>
              </w:rPr>
              <w:t xml:space="preserve">TABLE 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Pr="00F6138F">
              <w:rPr>
                <w:rFonts w:ascii="Times New Roman" w:eastAsia="Calibri" w:hAnsi="Times New Roman" w:cs="Times New Roman"/>
              </w:rPr>
              <w:t xml:space="preserve">. 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>Changes in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 xml:space="preserve"> concentric and eccentric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 xml:space="preserve">knee flexor average peak torque at various </w:t>
            </w:r>
            <w:r w:rsidR="00903D02">
              <w:rPr>
                <w:rFonts w:ascii="Times New Roman" w:eastAsia="Calibri" w:hAnsi="Times New Roman" w:cs="Times New Roman"/>
                <w:i/>
                <w:noProof/>
              </w:rPr>
              <w:t xml:space="preserve">contraction 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 xml:space="preserve">velocities </w:t>
            </w:r>
            <w:r w:rsidR="00903D02">
              <w:rPr>
                <w:rFonts w:ascii="Times New Roman" w:eastAsia="Calibri" w:hAnsi="Times New Roman" w:cs="Times New Roman"/>
                <w:i/>
                <w:noProof/>
              </w:rPr>
              <w:t xml:space="preserve">in 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>the training limb of each group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 xml:space="preserve"> before (day 0) and </w:t>
            </w:r>
            <w:r w:rsidR="00903D02">
              <w:rPr>
                <w:rFonts w:ascii="Times New Roman" w:eastAsia="Calibri" w:hAnsi="Times New Roman" w:cs="Times New Roman"/>
                <w:i/>
                <w:noProof/>
              </w:rPr>
              <w:t xml:space="preserve">after the training intervention </w:t>
            </w:r>
            <w:r>
              <w:rPr>
                <w:rFonts w:ascii="Times New Roman" w:eastAsia="Calibri" w:hAnsi="Times New Roman" w:cs="Times New Roman"/>
                <w:i/>
                <w:noProof/>
              </w:rPr>
              <w:t>(day 42)</w:t>
            </w:r>
            <w:r w:rsidR="00903D02">
              <w:rPr>
                <w:rFonts w:ascii="Times New Roman" w:eastAsia="Calibri" w:hAnsi="Times New Roman" w:cs="Times New Roman"/>
                <w:i/>
                <w:noProof/>
              </w:rPr>
              <w:t xml:space="preserve"> as well as following the de-training period (day 70).</w:t>
            </w:r>
          </w:p>
        </w:tc>
      </w:tr>
      <w:tr w:rsidR="00F62A98" w:rsidRPr="00433FE9" w:rsidTr="00903D02">
        <w:trPr>
          <w:trHeight w:val="241"/>
        </w:trPr>
        <w:tc>
          <w:tcPr>
            <w:tcW w:w="1440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F62A98" w:rsidRPr="00433FE9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Contraction velocity</w:t>
            </w:r>
          </w:p>
        </w:tc>
        <w:tc>
          <w:tcPr>
            <w:tcW w:w="7020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Concentric Group (n=14)</w:t>
            </w:r>
          </w:p>
        </w:tc>
        <w:tc>
          <w:tcPr>
            <w:tcW w:w="367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F62A98" w:rsidRPr="00433FE9" w:rsidRDefault="00F62A98" w:rsidP="00F62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3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Eccentric Group (n=14)</w:t>
            </w:r>
          </w:p>
        </w:tc>
      </w:tr>
      <w:tr w:rsidR="00903D02" w:rsidRPr="00433FE9" w:rsidTr="00903D02">
        <w:trPr>
          <w:trHeight w:val="132"/>
        </w:trPr>
        <w:tc>
          <w:tcPr>
            <w:tcW w:w="1440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433FE9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F6138F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Baseline</w:t>
            </w:r>
            <w:r w:rsidRPr="00F6138F">
              <w:rPr>
                <w:rFonts w:ascii="Times New Roman" w:hAnsi="Times New Roman" w:cs="Times New Roman"/>
              </w:rPr>
              <w:br/>
              <w:t>(Day 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F6138F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42)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F6138F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Post Intervention (Day 70)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433FE9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%Change following intervention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433FE9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%Change</w:t>
            </w:r>
          </w:p>
          <w:p w:rsidR="00903D02" w:rsidRPr="00433FE9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28 days post intervention</w:t>
            </w: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3D02" w:rsidRPr="00433FE9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F6138F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Baseline</w:t>
            </w:r>
            <w:r w:rsidRPr="00F6138F">
              <w:rPr>
                <w:rFonts w:ascii="Times New Roman" w:hAnsi="Times New Roman" w:cs="Times New Roman"/>
              </w:rPr>
              <w:br/>
              <w:t>(Day 0)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F6138F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End</w:t>
            </w:r>
            <w:r>
              <w:rPr>
                <w:rFonts w:ascii="Times New Roman" w:hAnsi="Times New Roman" w:cs="Times New Roman"/>
              </w:rPr>
              <w:br/>
            </w:r>
            <w:r w:rsidRPr="00F6138F">
              <w:rPr>
                <w:rFonts w:ascii="Times New Roman" w:hAnsi="Times New Roman" w:cs="Times New Roman"/>
              </w:rPr>
              <w:t>Intervention</w:t>
            </w:r>
            <w:r w:rsidRPr="00F6138F">
              <w:rPr>
                <w:rFonts w:ascii="Times New Roman" w:hAnsi="Times New Roman" w:cs="Times New Roman"/>
              </w:rPr>
              <w:br/>
              <w:t>(Day 42)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F6138F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F6138F">
              <w:rPr>
                <w:rFonts w:ascii="Times New Roman" w:hAnsi="Times New Roman" w:cs="Times New Roman"/>
              </w:rPr>
              <w:t>Post Intervention (Day 70)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433FE9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%Change following intervention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D02" w:rsidRPr="00433FE9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%Change</w:t>
            </w:r>
          </w:p>
          <w:p w:rsidR="00903D02" w:rsidRPr="00433FE9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28 days post intervention</w:t>
            </w:r>
          </w:p>
        </w:tc>
      </w:tr>
      <w:tr w:rsidR="00F62A98" w:rsidRPr="00433FE9" w:rsidTr="00903D02">
        <w:trPr>
          <w:trHeight w:val="241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903D02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Con</w:t>
            </w:r>
            <w:r w:rsidR="00903D02">
              <w:rPr>
                <w:rFonts w:ascii="Times New Roman" w:hAnsi="Times New Roman" w:cs="Times New Roman"/>
              </w:rPr>
              <w:t>centric</w:t>
            </w:r>
            <w:r w:rsidRPr="00433FE9">
              <w:rPr>
                <w:rFonts w:ascii="Times New Roman" w:hAnsi="Times New Roman" w:cs="Times New Roman"/>
              </w:rPr>
              <w:t xml:space="preserve"> 240</w:t>
            </w:r>
            <w:r w:rsidR="00903D02">
              <w:rPr>
                <w:rFonts w:ascii="Times New Roman" w:hAnsi="Times New Roman" w:cs="Times New Roman"/>
              </w:rPr>
              <w:t xml:space="preserve"> (°</w:t>
            </w:r>
            <w:r w:rsidR="00903D02" w:rsidRPr="00433FE9">
              <w:rPr>
                <w:rFonts w:ascii="Times New Roman" w:hAnsi="Times New Roman" w:cs="Times New Roman"/>
              </w:rPr>
              <w:t>/sec</w:t>
            </w:r>
            <w:r w:rsidR="00903D0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89.3</w:t>
            </w:r>
            <w:r w:rsidRPr="00433FE9">
              <w:rPr>
                <w:rFonts w:ascii="Times New Roman" w:hAnsi="Times New Roman" w:cs="Times New Roman"/>
              </w:rPr>
              <w:br/>
              <w:t>±16.2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97.86*</w:t>
            </w:r>
            <w:r w:rsidRPr="00433FE9">
              <w:rPr>
                <w:rFonts w:ascii="Times New Roman" w:hAnsi="Times New Roman" w:cs="Times New Roman"/>
              </w:rPr>
              <w:br/>
              <w:t>±16.4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95.44±13.3</w:t>
            </w:r>
            <w:r w:rsidR="00293506" w:rsidRPr="00433FE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9.58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-2.47</w:t>
            </w:r>
          </w:p>
        </w:tc>
        <w:tc>
          <w:tcPr>
            <w:tcW w:w="36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97.2</w:t>
            </w:r>
            <w:r w:rsidRPr="00433FE9">
              <w:rPr>
                <w:rFonts w:ascii="Times New Roman" w:hAnsi="Times New Roman" w:cs="Times New Roman"/>
              </w:rPr>
              <w:br/>
              <w:t>±21.2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109.94*</w:t>
            </w:r>
            <w:r w:rsidRPr="00433FE9">
              <w:rPr>
                <w:rFonts w:ascii="Times New Roman" w:hAnsi="Times New Roman" w:cs="Times New Roman"/>
              </w:rPr>
              <w:br/>
              <w:t>±19.3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105.10</w:t>
            </w:r>
            <w:r w:rsidR="00293506" w:rsidRPr="00433FE9">
              <w:rPr>
                <w:rFonts w:ascii="Times New Roman" w:hAnsi="Times New Roman" w:cs="Times New Roman"/>
              </w:rPr>
              <w:t>*</w:t>
            </w:r>
            <w:r w:rsidRPr="00433FE9">
              <w:rPr>
                <w:rFonts w:ascii="Times New Roman" w:hAnsi="Times New Roman" w:cs="Times New Roman"/>
              </w:rPr>
              <w:br/>
              <w:t>±20.3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-4.40</w:t>
            </w:r>
          </w:p>
        </w:tc>
      </w:tr>
      <w:tr w:rsidR="00F62A98" w:rsidRPr="00433FE9" w:rsidTr="00903D02">
        <w:trPr>
          <w:trHeight w:val="2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903D02" w:rsidP="00903D02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</w:rPr>
              <w:t>centric</w:t>
            </w:r>
            <w:r w:rsidRPr="00433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180</w:t>
            </w:r>
            <w:r w:rsidRPr="00433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CF257B">
              <w:rPr>
                <w:rFonts w:ascii="Times New Roman" w:hAnsi="Times New Roman" w:cs="Times New Roman"/>
              </w:rPr>
              <w:t>°</w:t>
            </w:r>
            <w:r w:rsidR="00CF257B" w:rsidRPr="00433FE9">
              <w:rPr>
                <w:rFonts w:ascii="Times New Roman" w:hAnsi="Times New Roman" w:cs="Times New Roman"/>
              </w:rPr>
              <w:t>/sec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104.44</w:t>
            </w:r>
            <w:r w:rsidRPr="00433FE9">
              <w:rPr>
                <w:rFonts w:ascii="Times New Roman" w:hAnsi="Times New Roman" w:cs="Times New Roman"/>
              </w:rPr>
              <w:br/>
              <w:t>±19.1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116.2**</w:t>
            </w:r>
            <w:r w:rsidRPr="00433FE9">
              <w:rPr>
                <w:rFonts w:ascii="Times New Roman" w:hAnsi="Times New Roman" w:cs="Times New Roman"/>
              </w:rPr>
              <w:br/>
              <w:t>±18.2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111.66±17.8</w:t>
            </w:r>
            <w:r w:rsidR="00293506" w:rsidRPr="00433FE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11.3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-3.95</w:t>
            </w: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111.3</w:t>
            </w:r>
            <w:r w:rsidRPr="00433FE9">
              <w:rPr>
                <w:rFonts w:ascii="Times New Roman" w:hAnsi="Times New Roman" w:cs="Times New Roman"/>
              </w:rPr>
              <w:br/>
              <w:t>±24.9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129.06**</w:t>
            </w:r>
            <w:r w:rsidRPr="00433FE9">
              <w:rPr>
                <w:rFonts w:ascii="Times New Roman" w:hAnsi="Times New Roman" w:cs="Times New Roman"/>
              </w:rPr>
              <w:br/>
              <w:t>±24.3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122.57</w:t>
            </w:r>
            <w:r w:rsidR="00293506" w:rsidRPr="00433FE9">
              <w:rPr>
                <w:rFonts w:ascii="Times New Roman" w:hAnsi="Times New Roman" w:cs="Times New Roman"/>
              </w:rPr>
              <w:t>*</w:t>
            </w:r>
            <w:r w:rsidRPr="00433FE9">
              <w:rPr>
                <w:rFonts w:ascii="Times New Roman" w:hAnsi="Times New Roman" w:cs="Times New Roman"/>
              </w:rPr>
              <w:br/>
              <w:t>±17.9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15.9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-5.01</w:t>
            </w:r>
          </w:p>
        </w:tc>
      </w:tr>
      <w:tr w:rsidR="00F62A98" w:rsidRPr="00433FE9" w:rsidTr="00903D02">
        <w:trPr>
          <w:trHeight w:val="258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903D02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Con</w:t>
            </w:r>
            <w:r>
              <w:rPr>
                <w:rFonts w:ascii="Times New Roman" w:hAnsi="Times New Roman" w:cs="Times New Roman"/>
              </w:rPr>
              <w:t>centric</w:t>
            </w:r>
            <w:r w:rsidRPr="00433FE9">
              <w:rPr>
                <w:rFonts w:ascii="Times New Roman" w:hAnsi="Times New Roman" w:cs="Times New Roman"/>
              </w:rPr>
              <w:t xml:space="preserve"> </w:t>
            </w:r>
            <w:r w:rsidR="00F62A98" w:rsidRPr="00433FE9">
              <w:rPr>
                <w:rFonts w:ascii="Times New Roman" w:hAnsi="Times New Roman" w:cs="Times New Roman"/>
              </w:rPr>
              <w:t xml:space="preserve"> 60</w:t>
            </w:r>
            <w:r w:rsidRPr="00433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CF257B">
              <w:rPr>
                <w:rFonts w:ascii="Times New Roman" w:hAnsi="Times New Roman" w:cs="Times New Roman"/>
              </w:rPr>
              <w:t>°</w:t>
            </w:r>
            <w:r w:rsidR="00CF257B" w:rsidRPr="00433FE9">
              <w:rPr>
                <w:rFonts w:ascii="Times New Roman" w:hAnsi="Times New Roman" w:cs="Times New Roman"/>
              </w:rPr>
              <w:t>/sec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141.04</w:t>
            </w:r>
            <w:r w:rsidRPr="00433FE9">
              <w:rPr>
                <w:rFonts w:ascii="Times New Roman" w:hAnsi="Times New Roman" w:cs="Times New Roman"/>
              </w:rPr>
              <w:br/>
              <w:t>±28.3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159.5*</w:t>
            </w:r>
            <w:r w:rsidRPr="00433FE9">
              <w:rPr>
                <w:rFonts w:ascii="Times New Roman" w:hAnsi="Times New Roman" w:cs="Times New Roman"/>
              </w:rPr>
              <w:br/>
              <w:t>±24.1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153.51±25.9</w:t>
            </w:r>
            <w:r w:rsidR="00293506" w:rsidRPr="00433FE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13.1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-3.75</w:t>
            </w: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134.15</w:t>
            </w:r>
            <w:r w:rsidRPr="00433FE9">
              <w:rPr>
                <w:rFonts w:ascii="Times New Roman" w:hAnsi="Times New Roman" w:cs="Times New Roman"/>
              </w:rPr>
              <w:br/>
              <w:t>±30.8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156.3**</w:t>
            </w:r>
            <w:r w:rsidRPr="00433FE9">
              <w:rPr>
                <w:rFonts w:ascii="Times New Roman" w:hAnsi="Times New Roman" w:cs="Times New Roman"/>
              </w:rPr>
              <w:br/>
              <w:t>±25.2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152.8</w:t>
            </w:r>
            <w:r w:rsidR="00293506" w:rsidRPr="00433FE9">
              <w:rPr>
                <w:rFonts w:ascii="Times New Roman" w:hAnsi="Times New Roman" w:cs="Times New Roman"/>
              </w:rPr>
              <w:t>*</w:t>
            </w:r>
            <w:r w:rsidRPr="00433FE9">
              <w:rPr>
                <w:rFonts w:ascii="Times New Roman" w:hAnsi="Times New Roman" w:cs="Times New Roman"/>
              </w:rPr>
              <w:br/>
              <w:t>±17.02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16.5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-2.23</w:t>
            </w:r>
          </w:p>
        </w:tc>
      </w:tr>
      <w:tr w:rsidR="00F62A98" w:rsidRPr="00433FE9" w:rsidTr="00903D02">
        <w:trPr>
          <w:trHeight w:val="24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903D02" w:rsidP="00CF25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Eccentric</w:t>
            </w:r>
            <w:r>
              <w:rPr>
                <w:rFonts w:ascii="Times New Roman" w:hAnsi="Times New Roman" w:cs="Times New Roman"/>
              </w:rPr>
              <w:br/>
            </w:r>
            <w:r w:rsidR="00F62A98" w:rsidRPr="00433FE9">
              <w:rPr>
                <w:rFonts w:ascii="Times New Roman" w:hAnsi="Times New Roman" w:cs="Times New Roman"/>
              </w:rPr>
              <w:t xml:space="preserve"> 60</w:t>
            </w:r>
            <w:r w:rsidRPr="00433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CF257B">
              <w:rPr>
                <w:rFonts w:ascii="Times New Roman" w:hAnsi="Times New Roman" w:cs="Times New Roman"/>
              </w:rPr>
              <w:t>°</w:t>
            </w:r>
            <w:r w:rsidR="00CF257B" w:rsidRPr="00433FE9">
              <w:rPr>
                <w:rFonts w:ascii="Times New Roman" w:hAnsi="Times New Roman" w:cs="Times New Roman"/>
              </w:rPr>
              <w:t>/sec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186.53</w:t>
            </w:r>
            <w:r w:rsidRPr="00433FE9">
              <w:rPr>
                <w:rFonts w:ascii="Times New Roman" w:hAnsi="Times New Roman" w:cs="Times New Roman"/>
              </w:rPr>
              <w:br/>
              <w:t>±39.6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213.40*</w:t>
            </w:r>
            <w:r w:rsidRPr="00433FE9">
              <w:rPr>
                <w:rFonts w:ascii="Times New Roman" w:hAnsi="Times New Roman" w:cs="Times New Roman"/>
              </w:rPr>
              <w:br/>
              <w:t>±35.1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203.74±40.3</w:t>
            </w:r>
            <w:r w:rsidR="00293506" w:rsidRPr="00433FE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14.4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-4.52</w:t>
            </w:r>
          </w:p>
        </w:tc>
        <w:tc>
          <w:tcPr>
            <w:tcW w:w="36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196.3</w:t>
            </w:r>
            <w:r w:rsidRPr="00433FE9">
              <w:rPr>
                <w:rFonts w:ascii="Times New Roman" w:hAnsi="Times New Roman" w:cs="Times New Roman"/>
              </w:rPr>
              <w:br/>
              <w:t>±44.4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228.8**</w:t>
            </w:r>
            <w:r w:rsidRPr="00433FE9">
              <w:rPr>
                <w:rFonts w:ascii="Times New Roman" w:hAnsi="Times New Roman" w:cs="Times New Roman"/>
              </w:rPr>
              <w:br/>
              <w:t>±48.9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218.2</w:t>
            </w:r>
            <w:r w:rsidR="00293506" w:rsidRPr="00433FE9">
              <w:rPr>
                <w:rFonts w:ascii="Times New Roman" w:hAnsi="Times New Roman" w:cs="Times New Roman"/>
              </w:rPr>
              <w:t>*</w:t>
            </w:r>
            <w:r w:rsidRPr="00433FE9">
              <w:rPr>
                <w:rFonts w:ascii="Times New Roman" w:hAnsi="Times New Roman" w:cs="Times New Roman"/>
              </w:rPr>
              <w:br/>
              <w:t>±36.7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16.6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-4.63</w:t>
            </w:r>
          </w:p>
        </w:tc>
      </w:tr>
      <w:tr w:rsidR="00F62A98" w:rsidRPr="00433FE9" w:rsidTr="00903D02">
        <w:trPr>
          <w:trHeight w:val="241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903D02" w:rsidP="00F62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Eccentric</w:t>
            </w:r>
            <w:r w:rsidR="00F62A98" w:rsidRPr="00433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F62A98" w:rsidRPr="00433FE9">
              <w:rPr>
                <w:rFonts w:ascii="Times New Roman" w:hAnsi="Times New Roman" w:cs="Times New Roman"/>
              </w:rPr>
              <w:t>180</w:t>
            </w:r>
            <w:r w:rsidRPr="00433FE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="00CF257B">
              <w:rPr>
                <w:rFonts w:ascii="Times New Roman" w:hAnsi="Times New Roman" w:cs="Times New Roman"/>
              </w:rPr>
              <w:t>°</w:t>
            </w:r>
            <w:r w:rsidR="00CF257B" w:rsidRPr="00433FE9">
              <w:rPr>
                <w:rFonts w:ascii="Times New Roman" w:hAnsi="Times New Roman" w:cs="Times New Roman"/>
              </w:rPr>
              <w:t>/sec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178.11</w:t>
            </w:r>
            <w:r w:rsidRPr="00433FE9">
              <w:rPr>
                <w:rFonts w:ascii="Times New Roman" w:hAnsi="Times New Roman" w:cs="Times New Roman"/>
              </w:rPr>
              <w:br/>
              <w:t>±44.7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200.62*</w:t>
            </w:r>
            <w:r w:rsidRPr="00433FE9">
              <w:rPr>
                <w:rFonts w:ascii="Times New Roman" w:hAnsi="Times New Roman" w:cs="Times New Roman"/>
              </w:rPr>
              <w:br/>
              <w:t>±34.8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191.91±35.7</w:t>
            </w:r>
            <w:r w:rsidR="00293506" w:rsidRPr="00433FE9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12.6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-4.34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185.9</w:t>
            </w:r>
            <w:r w:rsidRPr="00433FE9">
              <w:rPr>
                <w:rFonts w:ascii="Times New Roman" w:hAnsi="Times New Roman" w:cs="Times New Roman"/>
              </w:rPr>
              <w:br/>
              <w:t>±35.9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216.2**</w:t>
            </w:r>
            <w:r w:rsidRPr="00433FE9">
              <w:rPr>
                <w:rFonts w:ascii="Times New Roman" w:hAnsi="Times New Roman" w:cs="Times New Roman"/>
              </w:rPr>
              <w:br/>
              <w:t>±43.01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209.02</w:t>
            </w:r>
            <w:r w:rsidR="00293506" w:rsidRPr="00433FE9">
              <w:rPr>
                <w:rFonts w:ascii="Times New Roman" w:hAnsi="Times New Roman" w:cs="Times New Roman"/>
              </w:rPr>
              <w:t>*</w:t>
            </w:r>
            <w:r w:rsidRPr="00433FE9">
              <w:rPr>
                <w:rFonts w:ascii="Times New Roman" w:hAnsi="Times New Roman" w:cs="Times New Roman"/>
              </w:rPr>
              <w:br/>
              <w:t>±32.1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16.3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2A98" w:rsidRPr="00433FE9" w:rsidRDefault="00F62A98" w:rsidP="00F62A98">
            <w:pPr>
              <w:jc w:val="center"/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>-3.32</w:t>
            </w:r>
          </w:p>
        </w:tc>
      </w:tr>
      <w:tr w:rsidR="00F62A98" w:rsidRPr="00433FE9" w:rsidTr="00903D02">
        <w:trPr>
          <w:trHeight w:val="980"/>
        </w:trPr>
        <w:tc>
          <w:tcPr>
            <w:tcW w:w="1566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A98" w:rsidRPr="00433FE9" w:rsidRDefault="00F62A98" w:rsidP="00F62A98">
            <w:pPr>
              <w:rPr>
                <w:rFonts w:ascii="Times New Roman" w:hAnsi="Times New Roman" w:cs="Times New Roman"/>
              </w:rPr>
            </w:pPr>
            <w:r w:rsidRPr="00433FE9">
              <w:rPr>
                <w:rFonts w:ascii="Times New Roman" w:hAnsi="Times New Roman" w:cs="Times New Roman"/>
              </w:rPr>
              <w:t xml:space="preserve">*=p&lt;0.05 </w:t>
            </w:r>
            <w:r w:rsidR="00903D02">
              <w:rPr>
                <w:rFonts w:ascii="Times New Roman" w:hAnsi="Times New Roman" w:cs="Times New Roman"/>
              </w:rPr>
              <w:t xml:space="preserve">vs Day 0, ** = p&lt;0.001 </w:t>
            </w:r>
            <w:r w:rsidR="00903D02">
              <w:rPr>
                <w:rFonts w:ascii="Times New Roman" w:hAnsi="Times New Roman" w:cs="Times New Roman"/>
              </w:rPr>
              <w:t>vs Day 0</w:t>
            </w:r>
            <w:r w:rsidR="00903D02">
              <w:rPr>
                <w:rFonts w:ascii="Times New Roman" w:hAnsi="Times New Roman" w:cs="Times New Roman"/>
              </w:rPr>
              <w:t>.  A</w:t>
            </w:r>
            <w:r w:rsidR="00903D02">
              <w:rPr>
                <w:rFonts w:ascii="Times New Roman" w:hAnsi="Times New Roman" w:cs="Times New Roman"/>
              </w:rPr>
              <w:t xml:space="preserve">ll data represented </w:t>
            </w:r>
            <w:r w:rsidR="00903D02" w:rsidRPr="00F6138F">
              <w:rPr>
                <w:rFonts w:ascii="Times New Roman" w:hAnsi="Times New Roman" w:cs="Times New Roman"/>
              </w:rPr>
              <w:t xml:space="preserve">as </w:t>
            </w:r>
            <w:proofErr w:type="spellStart"/>
            <w:r w:rsidR="00903D02" w:rsidRPr="00F6138F">
              <w:rPr>
                <w:rFonts w:ascii="Times New Roman" w:hAnsi="Times New Roman" w:cs="Times New Roman"/>
              </w:rPr>
              <w:t>mean±SD</w:t>
            </w:r>
            <w:proofErr w:type="spellEnd"/>
            <w:r w:rsidR="00903D02" w:rsidRPr="00F6138F">
              <w:rPr>
                <w:rFonts w:ascii="Times New Roman" w:hAnsi="Times New Roman" w:cs="Times New Roman"/>
              </w:rPr>
              <w:t xml:space="preserve"> unless otherwise stated.</w:t>
            </w:r>
            <w:r w:rsidR="00903D02">
              <w:rPr>
                <w:rFonts w:ascii="Times New Roman" w:hAnsi="Times New Roman" w:cs="Times New Roman"/>
              </w:rPr>
              <w:t xml:space="preserve"> </w:t>
            </w:r>
            <w:r w:rsidR="00903D02">
              <w:rPr>
                <w:rFonts w:ascii="Times New Roman" w:eastAsia="Calibri" w:hAnsi="Times New Roman" w:cs="Times New Roman"/>
                <w:noProof/>
              </w:rPr>
              <w:t>SD = standard deviation</w:t>
            </w:r>
            <w:r w:rsidR="00903D02" w:rsidRPr="007E5B1D">
              <w:rPr>
                <w:rFonts w:ascii="Times New Roman" w:eastAsia="Calibri" w:hAnsi="Times New Roman" w:cs="Times New Roman"/>
                <w:noProof/>
              </w:rPr>
              <w:t>,</w:t>
            </w:r>
            <w:r w:rsidR="00903D02">
              <w:rPr>
                <w:rFonts w:ascii="Times New Roman" w:eastAsia="Calibri" w:hAnsi="Times New Roman" w:cs="Times New Roman"/>
                <w:noProof/>
              </w:rPr>
              <w:t xml:space="preserve"> </w:t>
            </w:r>
            <w:r w:rsidR="00CF257B">
              <w:rPr>
                <w:rFonts w:ascii="Times New Roman" w:hAnsi="Times New Roman" w:cs="Times New Roman"/>
              </w:rPr>
              <w:t>°</w:t>
            </w:r>
            <w:r w:rsidR="00CF257B" w:rsidRPr="00433FE9">
              <w:rPr>
                <w:rFonts w:ascii="Times New Roman" w:hAnsi="Times New Roman" w:cs="Times New Roman"/>
              </w:rPr>
              <w:t>/sec</w:t>
            </w:r>
            <w:r w:rsidR="00CF257B">
              <w:rPr>
                <w:rFonts w:ascii="Times New Roman" w:hAnsi="Times New Roman" w:cs="Times New Roman"/>
              </w:rPr>
              <w:t xml:space="preserve"> = degrees per second.</w:t>
            </w:r>
            <w:bookmarkStart w:id="0" w:name="_GoBack"/>
            <w:bookmarkEnd w:id="0"/>
          </w:p>
          <w:p w:rsidR="00F62A98" w:rsidRPr="00433FE9" w:rsidRDefault="00F62A98" w:rsidP="00903D02">
            <w:pPr>
              <w:ind w:right="72"/>
              <w:rPr>
                <w:rFonts w:ascii="Times New Roman" w:hAnsi="Times New Roman" w:cs="Times New Roman"/>
              </w:rPr>
            </w:pPr>
          </w:p>
        </w:tc>
      </w:tr>
    </w:tbl>
    <w:p w:rsidR="000D055D" w:rsidRPr="00433FE9" w:rsidRDefault="000D055D" w:rsidP="00BE37F0">
      <w:pPr>
        <w:rPr>
          <w:rFonts w:ascii="Times New Roman" w:hAnsi="Times New Roman" w:cs="Times New Roman"/>
        </w:rPr>
      </w:pPr>
    </w:p>
    <w:sectPr w:rsidR="000D055D" w:rsidRPr="00433FE9" w:rsidSect="00586FF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B6" w:rsidRDefault="00B950B6" w:rsidP="00E24D6F">
      <w:pPr>
        <w:spacing w:after="0" w:line="240" w:lineRule="auto"/>
      </w:pPr>
      <w:r>
        <w:separator/>
      </w:r>
    </w:p>
  </w:endnote>
  <w:endnote w:type="continuationSeparator" w:id="0">
    <w:p w:rsidR="00B950B6" w:rsidRDefault="00B950B6" w:rsidP="00E2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B6" w:rsidRDefault="00B950B6" w:rsidP="00E24D6F">
      <w:pPr>
        <w:spacing w:after="0" w:line="240" w:lineRule="auto"/>
      </w:pPr>
      <w:r>
        <w:separator/>
      </w:r>
    </w:p>
  </w:footnote>
  <w:footnote w:type="continuationSeparator" w:id="0">
    <w:p w:rsidR="00B950B6" w:rsidRDefault="00B950B6" w:rsidP="00E24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F5"/>
    <w:rsid w:val="00053103"/>
    <w:rsid w:val="000765EA"/>
    <w:rsid w:val="000B60ED"/>
    <w:rsid w:val="000D055D"/>
    <w:rsid w:val="0015631B"/>
    <w:rsid w:val="001E274E"/>
    <w:rsid w:val="00215620"/>
    <w:rsid w:val="002807AE"/>
    <w:rsid w:val="00293506"/>
    <w:rsid w:val="003B0F6C"/>
    <w:rsid w:val="003D6F6D"/>
    <w:rsid w:val="003E6588"/>
    <w:rsid w:val="003F5468"/>
    <w:rsid w:val="00433FE9"/>
    <w:rsid w:val="00471E7C"/>
    <w:rsid w:val="004B49EB"/>
    <w:rsid w:val="004B73FF"/>
    <w:rsid w:val="00501220"/>
    <w:rsid w:val="00586FF5"/>
    <w:rsid w:val="005D281F"/>
    <w:rsid w:val="006350AF"/>
    <w:rsid w:val="007377BE"/>
    <w:rsid w:val="007750A4"/>
    <w:rsid w:val="007A5D8E"/>
    <w:rsid w:val="0088183F"/>
    <w:rsid w:val="008A328F"/>
    <w:rsid w:val="00903D02"/>
    <w:rsid w:val="009365E0"/>
    <w:rsid w:val="00A12544"/>
    <w:rsid w:val="00A80909"/>
    <w:rsid w:val="00B950B6"/>
    <w:rsid w:val="00BE37F0"/>
    <w:rsid w:val="00BF3633"/>
    <w:rsid w:val="00CA75A2"/>
    <w:rsid w:val="00CD03D8"/>
    <w:rsid w:val="00CD1E07"/>
    <w:rsid w:val="00CF257B"/>
    <w:rsid w:val="00D265F2"/>
    <w:rsid w:val="00D414D7"/>
    <w:rsid w:val="00D73AFE"/>
    <w:rsid w:val="00E1521C"/>
    <w:rsid w:val="00E24D6F"/>
    <w:rsid w:val="00E633C5"/>
    <w:rsid w:val="00E953AA"/>
    <w:rsid w:val="00EA5C50"/>
    <w:rsid w:val="00F043B9"/>
    <w:rsid w:val="00F10C10"/>
    <w:rsid w:val="00F26BAF"/>
    <w:rsid w:val="00F42B15"/>
    <w:rsid w:val="00F62A98"/>
    <w:rsid w:val="00FB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6F"/>
  </w:style>
  <w:style w:type="paragraph" w:styleId="Footer">
    <w:name w:val="footer"/>
    <w:basedOn w:val="Normal"/>
    <w:link w:val="FooterChar"/>
    <w:uiPriority w:val="99"/>
    <w:unhideWhenUsed/>
    <w:rsid w:val="00E2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D6F"/>
  </w:style>
  <w:style w:type="paragraph" w:styleId="Footer">
    <w:name w:val="footer"/>
    <w:basedOn w:val="Normal"/>
    <w:link w:val="FooterChar"/>
    <w:uiPriority w:val="99"/>
    <w:unhideWhenUsed/>
    <w:rsid w:val="00E24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Catholic University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Ryan Timmins</cp:lastModifiedBy>
  <cp:revision>2</cp:revision>
  <dcterms:created xsi:type="dcterms:W3CDTF">2015-03-20T05:46:00Z</dcterms:created>
  <dcterms:modified xsi:type="dcterms:W3CDTF">2015-03-20T05:46:00Z</dcterms:modified>
</cp:coreProperties>
</file>